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ATAS/271/2017 vom 10. April 2017</w:t>
      </w:r>
    </w:p>
    <w:p>
      <w:r>
        <w:t>GE Cour de justice, 2017-04-10, FR</w:t>
      </w:r>
    </w:p>
    <w:p>
      <w:r>
        <w:rPr>
          <w:b/>
        </w:rPr>
        <w:t xml:space="preserve">Quelle: </w:t>
      </w:r>
      <w:r>
        <w:t>https://mcp.opencaselaw.ch/entscheid/ge_gerichte_ATAS_271_2017</w:t>
      </w:r>
    </w:p>
    <w:p>
      <w:r>
        <w:t>FR: GE_GERICHTE ATAS/271/2017 du 10 avril 2017</w:t>
      </w:r>
    </w:p>
    <w:p>
      <w:r>
        <w:t>IT: GE_GERICHTE ATAS/271/2017 del 10 aprile 2017</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du Code Civil).</w:t>
      </w:r>
    </w:p>
    <w:p>
      <w:r>
        <w:t>Sa compétence pour juger du cas d’espèce est ainsi établie.</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du Code Civil du 10 décembre 1907 -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et 2 LFLP (nouvelle teneur en vigueur depuis le 1er janvier 2011), en cas de divorce, les prestations de sortie acquises durant le mariage sont partagées conformément aux art. 122 et 123 CC du 10 décembre 1907 et des art. 280 et 281 CPC;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w:t>
      </w:r>
    </w:p>
    <w:p>
      <w:r>
        <w:t>A/388/2017 4/5 conclusion du mariage les intérêts dus au moment du divorce. Les paiements en espèces effectués durant le mariage ne sont pas pris en compte (al. 2).</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5</w:t>
      </w:r>
    </w:p>
    <w:p>
      <w:r>
        <w:t>En l’espèce, le juge de première instance a ordonné le partage par moitié des avoirs de prévoyance des demandeurs. Les dates pertinentes sont, d’une part, celle du mariage, le 29 octobre 1996, d’autre part le 2 février 2016, date à laquelle le jugement de divorce est devenu exécutoire. Selon les documents produits, la prestation acquise pendant le mariage par M. A______ est de CHF 780'721.35 (CHF 1'056'678.35 – CHF 275'957.-) auprès de la caisse de pension du CICR, tandis que celle acquise par Mme C______ A______ est nulle. Ainsi M. A______ doit à son ex-épouse le montant de CHF 390'360.68.- (CHF 780'721.35 : 2). En conséquence, la caisse de pension du CICR sera invitée à transférer ce montant sur le compte de la demanderesse auprès de Rendita fondation de libre passage.</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w:t>
      </w:r>
    </w:p>
    <w:p>
      <w:r>
        <w:t>A/388/2017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