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ATAS/271/2008 vom 5. März 2008</w:t>
      </w:r>
    </w:p>
    <w:p>
      <w:r>
        <w:t>GE Cour de justice, 2008-03-05, FR</w:t>
      </w:r>
    </w:p>
    <w:p>
      <w:r>
        <w:rPr>
          <w:b/>
        </w:rPr>
        <w:t xml:space="preserve">Quelle: </w:t>
      </w:r>
      <w:r>
        <w:t>https://mcp.opencaselaw.ch/entscheid/ge_gerichte_ATAS_271_2008</w:t>
      </w:r>
    </w:p>
    <w:p>
      <w:r>
        <w:t>FR: GE_GERICHTE ATAS/271/2008 du 5 mars 2008</w:t>
      </w:r>
    </w:p>
    <w:p>
      <w:r>
        <w:t>IT: GE_GERICHTE ATAS/271/2008 del 5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le recours est recevable (art. 56 et 60 LPGA).</w:t>
      </w:r>
    </w:p>
    <w:p>
      <w:r>
        <w:rPr>
          <w:b/>
        </w:rPr>
        <w:t>E. 4</w:t>
      </w:r>
    </w:p>
    <w:p>
      <w:r>
        <w:t>L'objet du litige porte sur le degré d'invalidité du recourant, et par conséquent le droit à la rente à compter du 23 mai 2006, date à laquelle l'intimé a supprimé la demi-rente d'invalidité.</w:t>
      </w:r>
    </w:p>
    <w:p>
      <w:r>
        <w:rPr>
          <w:b/>
        </w:rPr>
        <w:t>E. 5</w:t>
      </w:r>
    </w:p>
    <w:p>
      <w:r>
        <w:t>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s. consid. 2; VSI 2001 p. 156 consid. 1). Selon la jurisprudence, une décision par laquelle l'assurance-invalidité accorde une rente d'invalidité avec effet rétroactif et, en même temps, prévoit la réduction de cette rente, correspond à une décision de révision au sens de l'art. 41 aLAI , respectivement 17 LPGA (ATF 125 V 417 s. consid. 2d et les références; VSI 2001 p. 157 consid. 2). En l'espèce, il y a lieu d'examiner sous l'angle de l'art. 17 LPGA si les conditions étaient réunies pour supprimer le droit du recourant à une demi-rente d'invalidité dès le 23 mai 2006.</w:t>
      </w:r>
    </w:p>
    <w:p>
      <w:r>
        <w:t>A/1093/2007 - 7/11 -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88a al. 2 RAI).</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w:t>
      </w:r>
    </w:p>
    <w:p>
      <w:r>
        <w:t>A/1093/2007 - 8/11 -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A/1093/2007 - 9/11 -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w:t>
      </w:r>
    </w:p>
    <w:p>
      <w:r>
        <w:rPr>
          <w:b/>
        </w:rPr>
        <w:t>E. 8</w:t>
      </w:r>
    </w:p>
    <w:p>
      <w:r>
        <w:t>En l'espèce, il n’est pas contesté que le recourant souffre d’une atteinte à la santé sous forme de lombalgies chroniques, hernie discale, discopathie, status post-cure de hernie discale et mise en place d’une prothèse discale. Est litigieuse en revanche la question de l’importance de la répercussion de l’atteinte à la santé sur la capacité de travail du recourant. Le Tribunal de céans constate que depuis le 8 décembre 2003, le recourant a été dans l’incapacité de travailler, d’abord à 100 %, puis à des taux variables oscillant entre 50 % et 100 %. Une reprise de travail à plein temps le 1er décembre 2005 s’est soldée par un échec en raison d’une recrudescence des douleurs et une nouvelle incapacité de travail à 50 % a été attestée depuis le 1er avril 2006. L’intimé s'est fondé sur le rapport d'expertise du Dr C_________ du 23 mai 2006 pour conclure qu'à compter de cette date, le recourant présente une capacité de travail de 85 % dans une activité légère, en tenant compte d'une baisse de rendement de 15 %, étant précisé que l'activité d'informaticien qu'il exerce est la mieux adaptée à son état de santé. L’expert a indiqué au demeurant qu’il n’était pas en mesure de se prononcer sur la capacité de travail exigible pour la période antérieure à son expertise. Cet avis n'est toutefois pas partagé par les Drs B_________ et A_________ qui estiment que le recourant n'est plus à même d'exercer son activité d'informaticien ou toute autre activité lucrative adaptée à plus de 50 %, compte tenu de ses nombreuses limitations. Ils indiquent en outre que depuis mai 2006, les douleurs ont très significativement augmenté, à tel point que la prise d’antalgiques majeurs sous forme de dérivés morphiniques a été nécessaire. Un état dépressif s’est par ailleurs installé. Ces praticiens ont porté à la connaissance de l’intimé en décembre 2006 déjà l’aggravation des douleurs lombaires et l’augmentation de la médication.</w:t>
      </w:r>
    </w:p>
    <w:p>
      <w:r>
        <w:t>A/1093/2007 - 10/11 - Au vu des rapports des Drs B_________ et A_________, l’expert a proposé, dans son courrier du 25 octobre 2007 adressé au Tribunal de céans, qu’une expertise au COMAI soit organisée. Tant l’intimé que le recourant se déclarent d’accord avec cette proposition. La cause sera en conséquence renvoyée à l’intimé afin qu’il mette en œuvre une expertise puridisciplinaire au COMAI et rende une nouvelle décision.</w:t>
      </w:r>
    </w:p>
    <w:p>
      <w:r>
        <w:rPr>
          <w:b/>
        </w:rPr>
        <w:t>E. 9</w:t>
      </w:r>
    </w:p>
    <w:p>
      <w:r>
        <w:t>Concernant le droit à la rente, le Tribunal de céans relève que l’intimé a octroyé au recourant une demi-rente d’invalidité dès le 8 décembre 2004, soit à l’échéance du délai d’un an (art. 29 al. 1 LAI). Suite à l’aggravation de l’état de santé ayant entraîné une incapacité de travail totale dès le 7 mars 2005, une rente entière lui a été ensuite allouée depuis le 1er juillet 2005, en application de l’art. 88a al. 2 RAI. En raison d’une reprise de travail à 100 % depuis le 1er décembre 2005, l’intimé a supprimé la rente dès cette date. Or, en cas d’amélioration de l’état de santé et en présence d’une situation instable comme en l’espèce, il y a lieu de supprimer, le cas échéant, le droit aux prestations conformément à l’art. 88a al. 1 RAI, à savoir dès que l’amélioration constatée a duré trois mois sans interruption notable et sans qu’une complication prochaine soit à craindre. L’intimé ne pouvait dès lors pas supprimer la rente entière d’invalidité avant le 1er mars 2006. Enfin, le 23 mai 2006, l’intimé a supprimé la demi-rente d’invalidité allouée depuis le 1er avril 2006 en raison d’une nouvelle incapacité de travail à 50 %, en se fondant sur l’estimation de la capacité de travail résiduelle émise par le Dr C_________, apparemment sans ce dernier ne fût informé de l’aggravation des douleurs et de la prise d’antalgiques majeurs. Or, conformément à l’art. 88a al. 1 RAI, la suppression de la demi-rente ne peut prendre effet que si l’amélioration constatée a duré trois mois sans interruption notable. Dès lors que l’intimé avait été informé en décembre 2006, soit avant la décision litigieuse, de l’aggravation de l’état de santé du recourant survenue dès le mois de mai 2006 et en présence d’un état de santé instable, il lui appartenait d’instruire ce point afin de vérifier si la suppression de la rente se justifiait, ce qu’il n’a point fait. Au vu de ce qui précède, l’intimé n’était pas en droit de conclure à une amélioration ayant duré trois mois sans interruption notable et de supprimer sans autre la demi-rente d’invalidité revenant au recourant.</w:t>
      </w:r>
    </w:p>
    <w:p>
      <w:r>
        <w:rPr>
          <w:b/>
        </w:rPr>
        <w:t>E. 10</w:t>
      </w:r>
    </w:p>
    <w:p>
      <w:r>
        <w:t>Le recours sera en conséquence partiellement admis au sens des considérants. L’intimé versera au recourant le montant de 1’250 fr. à titre de participation à ses frais et dépens.</w:t>
      </w:r>
    </w:p>
    <w:p>
      <w:r>
        <w:rPr>
          <w:b/>
        </w:rPr>
        <w:t>E. 11</w:t>
      </w:r>
    </w:p>
    <w:p>
      <w:r>
        <w:t>L’émolument, fixé en l’espèce à 500 fr., est mis à la charge de l’OCAI (art. 69 al. 1bis LAI).</w:t>
      </w:r>
    </w:p>
    <w:p>
      <w:r>
        <w:t>A/1093/2007 - 11/11 -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