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ATAS/270/2024 vom 24. April 2024</w:t>
      </w:r>
    </w:p>
    <w:p>
      <w:r>
        <w:t>GE Cour de justice, 2024-04-24, FR</w:t>
      </w:r>
    </w:p>
    <w:p>
      <w:r>
        <w:rPr>
          <w:b/>
        </w:rPr>
        <w:t xml:space="preserve">Quelle: </w:t>
      </w:r>
      <w:r>
        <w:t>https://mcp.opencaselaw.ch/entscheid/ge_gerichte_ATAS_270_2024</w:t>
      </w:r>
    </w:p>
    <w:p>
      <w:r>
        <w:t>FR: GE_GERICHTE ATAS/270/2024 du 24 avril 2024</w:t>
      </w:r>
    </w:p>
    <w:p>
      <w:r>
        <w:t>IT: GE_GERICHTE ATAS/270/2024 del 24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délai de recours est de trente jours (art. 56 LPGA ; art. 62 al. 1 de la loi sur la procédure administrative du 12 septembre 1985 [LPA - E 5 10]).</w:t>
      </w:r>
    </w:p>
    <w:p>
      <w:r>
        <w:t>A/2641/2023 - 5/15 - Interjeté dans la forme et le délai prévus par la loi, compte tenu de la suspension des délais pour la période du 15 juillet au 15 août inclusivement (art. 38 al. 4 let. b LPGA et art. 89C let. b LPA), le recours est recevable.</w:t>
      </w:r>
    </w:p>
    <w:p>
      <w:r>
        <w:rPr>
          <w:b/>
        </w:rPr>
        <w:t>E. 3.1</w:t>
      </w:r>
    </w:p>
    <w:p>
      <w:r>
        <w:t>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a été rendue postérieurement au 1er janvier 2022, mais le litige porte sur une rente d’invalidité née antérieurement. Ce sont donc les dispositions légales dans leur teneur en vigueur jusqu’au 31 décembre 2021 qui sont applicables. Partant, le droit aux prestations de la recourante doit s’examiner conformément aux règles applicables jusqu’au 31 décembre 2021, soit sous l’angle de l’ancien droit.</w:t>
      </w:r>
    </w:p>
    <w:p>
      <w:r>
        <w:rPr>
          <w:b/>
        </w:rPr>
        <w:t>E. 4</w:t>
      </w:r>
    </w:p>
    <w:p>
      <w:r>
        <w:t>Le litige porte uniquement sur le montant de la rente accordée à la recourante, soit sur les bases de calcul et en particulier sur la survenance du cas d’assurance et le nombre d’années de cotisations à prendre en considération. Le taux de la rente et à la date à partir de laquelle celle-ci est versée ne sont pas contestés.</w:t>
      </w:r>
    </w:p>
    <w:p>
      <w:r>
        <w:rPr>
          <w:b/>
        </w:rPr>
        <w:t>E. 5.1</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w:t>
      </w:r>
    </w:p>
    <w:p>
      <w:r>
        <w:t>A/2641/2023 - 6/15 - plus réalisable, faute d'être exigible, que la question de l'incapacité de gain se pose (Susana MESTRE CARVALHO, Éxigibilité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5.2</w:t>
      </w:r>
    </w:p>
    <w:p>
      <w:r>
        <w:t>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I 786/04 du 19 janvier 2006 consid. 3.1).</w:t>
      </w:r>
    </w:p>
    <w:p>
      <w:r>
        <w:rPr>
          <w:b/>
        </w:rPr>
        <w:t>E. 6.1</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étant précisé que jusqu’au 31 décembre 2007, seule une année de cotisations était nécessaire. La condition de la durée minimale de cotisations doit être remplie au moment de la survenance de l'invalidité. Les périodes accomplies après ce terme n'entrent pas en ligne de compte (RCC 1959, p. 449 ; voir également ch. 4205 de la directive sur les rentes [ci-après : DR]). S’agissant de la durée minimale de cotisations lors de la survenance de l’invalidité, il y a lieu d’appliquer celle de trois ans pour toutes les nouvelles rentes d’invalidité pour lesquelles la survenance de l’invalidité est intervenue à compter du 1er janvier 2008, et celle d’un an pour les nouvelles rentes d’invalidité déduites d’une survenance d’invalidité antérieure à cette date-ci</w:t>
      </w:r>
    </w:p>
    <w:p>
      <w:r>
        <w:t>A/2641/2023 - 7/15 - (ATAS/786/2016 du 4 octobre 2016 consid. 2c ; ATAS/311/2013 du 26 mars 2013 consid. 6 ; ch. 3003 de la circulaire sur la procédure pour la fixation des prestations dans l’AVS/AI/PC [ci-après : CIBIL] ; Michel VALTERIO, op. cit., n. 1231).</w:t>
      </w:r>
    </w:p>
    <w:p>
      <w:r>
        <w:rPr>
          <w:b/>
        </w:rPr>
        <w:t>E. 6.2</w:t>
      </w:r>
    </w:p>
    <w:p>
      <w:r>
        <w:t>L'art. 36 al. 2 LAI prévoit que la loi fédérale sur l'assurance vieillesse et survivants du 20 décembre 1946 (LAVS - RS 831.10) est applicable par analogie au calcul des rentes ordinaires. À teneur de l'art. 29 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 Selon l'art. 29 quater LAVS, la rente est calculée sur la base du revenu annuel moyen. Celui-ci se compose : a. des revenus de l'activité lucrative ; b. des bonifications pour tâches éducatives ; c. des bonifications pour tâches d'assistance.</w:t>
      </w:r>
    </w:p>
    <w:p>
      <w:r>
        <w:rPr>
          <w:b/>
        </w:rPr>
        <w:t>E. 6.3</w:t>
      </w:r>
    </w:p>
    <w:p>
      <w:r>
        <w:t>L’invalidité est réputée survenue dès qu’elle est, par sa nature et sa gravité, propre à ouvrir droit aux prestations entrant en considération (art. 4 al. 2 LAI).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 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18ème anniversaire (circulaire sur l’invalidité et l’impotence dans l’assurance-invalidité établie par l’Office fédéral des assurances sociales, dans son état au 1er janvier 2021 [ci-après : CIIAI], ch. 1030 et les références). La survenance du cas d’assurance correspond, en règle générale, à l’ouverture du droit à la rente. L’ouverture du droit à une rente peut cependant déroger à cette règle, par exemple lors d’une demande tardive (CIIAI, ch. 1034). La CIIAI a été abrogée et remplacée, dès le 1er janvier 2022, par la circulaire sur l’invalidité et les rentes dans l’assurance-invalidité (CIRAI).</w:t>
      </w:r>
    </w:p>
    <w:p>
      <w:r>
        <w:t>A/2641/2023 - 8/15 -</w:t>
      </w:r>
    </w:p>
    <w:p>
      <w:r>
        <w:rPr>
          <w:b/>
        </w:rPr>
        <w:t>E. 6.4</w:t>
      </w:r>
    </w:p>
    <w:p>
      <w:r>
        <w:t>L’incapacité de gain ne se confond pas forcément avec l’incapacité de travail. En effet, l’incapacité de travail correspond à toute perte, totale ou partielle, de l’aptitude de l’assuré à accomplir dans sa profession ou son domaine d’activité le travail qui peut raisonnablement être exigé de lui, si cette perte résulte d’une atteinte à sa santé physique, mentale ou psychique (art. 6 LPGA). L’incapacité de travail s’examine par conséquent par rapport à la profession habituelle de l’assuré ou à son domaine d’activité. Dans ce contexte, le Tribunal fédéral a notamment admis une incapacité de travail non seulement lorsqu’une personne n’est plus capable d’exercer totalement ou partiellement son activité habituelle en raison d’une atteinte à la santé mais également lorsqu’une personne ne peut continuer son activité professionnelle qu’au risque d’une aggravation de son état de santé (voir notamment ATF 130 V 343 consid. 3.1 ; arrêt du Tribunal fédéral 9C_31/2008 du 6 octobre 2008, consid. 3.4). Quant à l’incapacité de gain, elle correspond, selon l’art. 7 LPGA, à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Enfin, comme indiqué précédemment, l’invalidité correspond à l’incapacité de gain totale ou partielle présumée permanente ou de longue durée.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donc une notion économique et non médicale dans la mesure où ce sont les conséquences économiques objectives de l'incapacité fonctionnelle qu'il importe d'évaluer. Son taux ne se confond ainsi par conséquent pas forcément avec le taux d'incapacité fonctionnelle déterminé par le médecin. En outre, lorsque l’assuré travaille, le revenu d'invalide doit être évalué avant tout en fonction de sa situation professionnelle concrète et correspond donc au revenu effectivement réalisé par l'intéressé (cf. ATAS/475/2013 du 16 mai 2013 consid. 5c/bb).</w:t>
      </w:r>
    </w:p>
    <w:p>
      <w:r>
        <w:rPr>
          <w:b/>
        </w:rPr>
        <w:t>E. 7.1</w:t>
      </w:r>
    </w:p>
    <w:p>
      <w:r>
        <w:t>Pour pouvoir calculer le degré d'invalidité, l'administration ou le juge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w:t>
      </w:r>
    </w:p>
    <w:p>
      <w:r>
        <w:t>A/2641/2023 - 9/15 - des facteurs incapacitants externes d’une part et du potentiel de compensation (ressources) d’autre part (cf.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7.4</w:t>
      </w:r>
    </w:p>
    <w:p>
      <w:r>
        <w:t>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w:t>
      </w:r>
    </w:p>
    <w:p>
      <w:r>
        <w:t>A/2641/2023 - 10/15 -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9.1</w:t>
      </w:r>
    </w:p>
    <w:p>
      <w:r>
        <w:t>En l’espèce, les parties s’opposent sur la date à laquelle est survenue l’invalidité de la recourante. Cette date est essentielle pour déterminer le montant de la rente d’invalidité à verser à la recourante. En effet, ladite rente est calculée sur la base du revenu annuel moyen réalisé jusqu’au 31 décembre avant la survenance de l’invalidité (cas d’assurance). Pour l’intimé, le cas d’assurance est survenu en 2012, de sorte que le revenu annuel moyen se calcul uniquement sur quatre ans et un mois de cotisation. De son côté, la recourante est d’avis que le cas d’assurance est survenu en 2022, de sorte que le revenu annuel moyen se calcule sur la base des revenus réalisés jusqu’alors.</w:t>
      </w:r>
    </w:p>
    <w:p>
      <w:r>
        <w:t>A/2641/2023 - 11/15 -</w:t>
      </w:r>
    </w:p>
    <w:p>
      <w:r>
        <w:rPr>
          <w:b/>
        </w:rPr>
        <w:t>E. 9.2</w:t>
      </w:r>
    </w:p>
    <w:p>
      <w:r>
        <w:t>À titre liminaire, la chambre de céans rappelle que l’invalidité est réputée survenue dès qu’elle est, par sa nature et sa gravité, propre à ouvrir droit aux prestations entrant en considération (art. 4 al. 2 LAI). 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mais au plus tôt le premier jour du mois qui suit le 18ème anniversaire (circulaire sur l’invalidité et l’impotence dans l’assurance-invalidité établie par l’Office fédéral des assurances sociales, dans son état au 1er janvier 2021 [ci-après : CIIAI], ch. 1030 et les références).</w:t>
      </w:r>
    </w:p>
    <w:p>
      <w:r>
        <w:rPr>
          <w:b/>
        </w:rPr>
        <w:t>E. 9.3</w:t>
      </w:r>
    </w:p>
    <w:p>
      <w:r>
        <w:t>La CCGC et l’intimé se sont fondés sur l’avis du SMR du 31 mai 2022 pour se prononcer sur la question de l’incapacité de travail, première des conditions cumulatives. Dans cet avis, le SMR a considéré que la recourante était incapable de travailler à 100% depuis 2012. L’avis précité constitue un rapport au sens de l'art. 59 al. 2bis LAI et il a pour seule fonction d'opérer la synthèse des renseignements médicaux et de prodiguer des recommandations quant à la suite à donner au dossier. Il ne peut comporter des conclusions nouvelles. Il convient donc d’examiner la cohérence de cet avis, lequel devrait porter une appréciation sur la situation médicale de la recourante compte tenu des pièces au dossier. Or, force est de constater que : - Le rapport du 26 juin 2017 a été rédigé par la Dre B______ dans le cadre de l’octroi de chaussures orthopédiques et il ne comporte aucune appréciation sur la capacité de travail de la recourante. - Le rapport du 3 février 2021 a été établi par la rhumatologue précitée sur une feuille d’ordonnance et il énonce exclusivement les diagnostics posés, sans se prononcer sur une quelconque incapacité de travail ni évoquer les limitations fonctionnelles. - Le rapport du 20 mai 2021 de la Dre B______ évoque les diagnostics de polyarthrite rhumatoïde sévère, avec déformation séquellaire majeure des mains et avant-pieds des deux côtés et lombalgies chroniques (avec répercussion sur la capacité de travail) ainsi qu’ostéoporose et anévrisme cérébral diagnostiqué en 2018 (sans répercussion sur la capacité de travail), étant précisé qu’aucune incapacité de travail n’avait été attestée au cours des années précédentes. Quant aux limitations fonctionnelles, elles concernaient les déplacements sur de longues distances, le port de charges supérieures à 1 kg de manière répétée, le travail avec les bras en abduction au-delà de 90° et en position accroupie. - Le rapport du 1er octobre 2021 de la rhumatologue traitante reprend les diagnostics précités qu’il a compétés avec un diagnostic supplémentaire, à</w:t>
      </w:r>
    </w:p>
    <w:p>
      <w:r>
        <w:t>A/2641/2023 - 12/15 - savoir celui de spondylolisthésis L5-S1 (lyse isthmique bilatérale), tout en précisant qu’aucune incapacité de travail n’avait été attestée au cours des dernières années. - Le courrier du Dr C______ établi le 8 décembre 2020 suite à la consultation du 10 novembre 2020 porte uniquement sur le traitement envisagé. Le médecin précité ne se prononce à aucun moment sur la capacité de travail de la recourante ni sur les limitations fonctionnelles entraînées par son atteinte. - Les comptes rendus des radiographies des mains et des pieds et de l’échographie réalisées le 31 août 2020 décrivent uniquement les atteintes constatées sur l’imagerie. - Les comptes rendus des consultations au service de médecine de premier recours des 9 juin 2010, 13 juillet 2010 et 17 septembre 2010, lesquels décrivent les constatations cliniques et le traitement prescrit en lien avec une atteinte qui n’était pas décrite mais ne se prononcent aucunement sur la question de l’incapacité de travail. - Les comptes rendus de la consultation neurologique de suivi suite à la découverte de l’anévrisme cérébral ne se prononcent pas sur une éventuelle incapacité de travail. En réalité, aucun des rapports évoqués par le SMR ne se prononce sur une éventuelle incapacité de travail et encore moins depuis 2012, que ce soit dans l’activité habituelle ou dans une activité adaptée. Sauf à poser des conclusions nouvelles, qui ne ressortent pas des pièces figurant au dossier, on ne saurait ainsi retenir une incapacité de travail depuis 2012 déjà comme l’ont fait le SMR et l’OAI. En effet, la recourante a travaillé jusqu’au début de l’année 2022. Certes ses revenus ont fluctué d’une année à l’autre. Cependant, la recourante a expliqué dans un courrier du 1er février 2023, que le secteur dans lequel elle travaillait ne garantissait pas un emploi fixe à long terme. De plus, dès lors que le permis B ne lui avait été délivré qu’avec effet au 20 mars 2016, elle n’aurait pas été apte au placement, de sorte qu’elle ne s’était jamais inscrite auprès de l’office cantonal de l’emploi lorsqu’elle perdait un emploi. Pour la chambre de céans, ces explications sont convaincantes. Ainsi, il n’est pas établi, au degré de la vraisemblance prépondérante, que les diminutions de rémunérations constatées entre 2012 et 2022 étaient liées à des périodes d’incapacité de travail dues à l’état de santé de la recourante. À cet égard, les constatations de l’OAI, dans ses notes des 19 et 23 janvier 2023, ne sauraient être suivies, dans la mesure où l’office intimé semble mettre en lien la perte des emplois et le chômage qui s’en est suivi avec l’atteinte à la santé de la recourante. Or, un tel lien ne ressort pas des explications données par la recourante dans le questionnaire sur le statut qu’elle a rempli en date du 18 novembre 2021. En effet, dans ce dernier formulaire, elle a expliqué qu’elle avait travaillé à 100% jusqu’en 2014. À ce moment-là, elle avait perdu deux</w:t>
      </w:r>
    </w:p>
    <w:p>
      <w:r>
        <w:t>A/2641/2023 - 13/15 - emplois fixes et n’avait pas réussi à retrouver des emplois en raison de la déformation visible de ses mains due à sa maladie. Elle devait passer par des agences temporaires pour que les employeurs ne se rendent pas compte de la déformation en question. Ce n’était ainsi pas l’atteinte en tant que telle qui a entraîné la perte des emplois fixes. En revanche, il ressort des pièces du dossier qu’à tout le moins depuis le printemps 2021, la recourante ne pouvait continuer à exercer son activité qu’au risque d’aggraver son état de santé. C’est d’ailleurs parce que son médecin lui a demandé de cesser son activité d’employée de maison au plus vite afin de préserver sa santé que la recourante a saisi l’OAI d’une demande de prestations. Dès ce moment, il peut être considéré que la recourante présentait une incapacité de travail dans le sens où elle ne pouvait continuer son activité professionnelle qu’au risque d’une aggravation de son état de santé (voir notamment ATF 130 V 343 consid. 3.1 ; arrêt du Tribunal fédéral 9C_31/2008 du 6 octobre 2008, consid. 3.4). Dans ces circonstances, force est d’admettre que la première condition de l’invalidité, à savoir l’incapacité de travail de 40%, ne pouvait être remplie qu’à partir du début de l’année 2021 et non dès 2012. L’avis du SMR du 31 mai 2022 doit donc être écarté, en tant qu’il fait remonter à 2012 et ce sans fournir la moindre explication, une éventuelle incapacité de travail dans l’activité habituelle et une potentielle capacité de travail résiduelle de 50% dans une activité adaptée.</w:t>
      </w:r>
    </w:p>
    <w:p>
      <w:r>
        <w:rPr>
          <w:b/>
        </w:rPr>
        <w:t>E. 9.4</w:t>
      </w:r>
    </w:p>
    <w:p>
      <w:r>
        <w:t>L’existence d’une incapacité de travail n’est toutefois pas suffisante pour retenir la survenance d’une invalidité. En effet, il faut en outre qu’à l’expiration du délai d’attente d’un an, lequel a commencé à courir au début de l’année 2021, la recourante soit invalide à 40% au moins au sens de l’art. 8 LPGA, ce par quoi il faut entendre qu’elle doit subir une perte de gain d’au moins 40% et ce dans toute activité. Or, ce n’est à qu’à partir du 1er février 2022 que la recourante est incapable de travailler dans toute activité, ce qui a d’ailleurs été admis par le SMR et l’office intimé. Certes, le SMR a évoqué une capacité de travail de 50% dans une activité adaptée. Cependant, l’intimé a considéré qu’au vu de l’absence de compétences transférables chez la recourante, qui plus est âgée de 58 ans, sans formation et compte tenu de l’ampleur des limitations fonctionnelles, compromettant les déplacements, le port de charge et la motricité fine, nécessitant en outre une position assise, aucune capacité de gain ne pouvait selon toute vraisemblance être attendue de la recourante (cf. mandat de réadaptation du 19 janvier 2023). Dans cette mesure, ce n’est qu’à compter du 1er février 2022 que la recourante subit une incapacité de gain totale et que, par conséquent l’invalidité est survenue.</w:t>
      </w:r>
    </w:p>
    <w:p>
      <w:r>
        <w:rPr>
          <w:b/>
        </w:rPr>
        <w:t>E. 9.5</w:t>
      </w:r>
    </w:p>
    <w:p>
      <w:r>
        <w:t>Eu égard à ce qui précède, l’OAI devait prendre en considération les cotisations versées jusqu’au 31 décembre 2021 pour déterminer le montant de la rente.</w:t>
      </w:r>
    </w:p>
    <w:p>
      <w:r>
        <w:t>A/2641/2023 - 14/15 - Il ressort également de ce qui précède que le droit à la rente n’est en réalité ouvert qu’à compter du 1er février 2022 et non dès le 1er octobre 2021. En effet, ce n’est qu’à cette date que la recourante est devenue invalide. Cela étant, dès lors que le recours ne porte pas sur la date à partir de laquelle la rente est due mais uniquement sur son montant et vu le faible montant versé prématurément, la chambre de céans renonce, comme elle en a la faculté, à une reformatio in pejus (ATF 119 V 249).</w:t>
      </w:r>
    </w:p>
    <w:p>
      <w:r>
        <w:rPr>
          <w:b/>
        </w:rPr>
        <w:t>E. 10</w:t>
      </w:r>
    </w:p>
    <w:p>
      <w:r>
        <w:t>Au vu de ce qui précède, le recours sera admis et la décision du 22 juin 2023 sera annulée en tant qu’elle met l’assurée au bénéfice d’une rente mensuelle de CHF 356.-. La cause sera renvoyée à l’intimée pour nouveau calcul du montant de la rente, en prenant en considération les cotisations jusqu’au 31 décembre 2021. La recourante obtenant gain de cause, une indemnité de CHF 2'000.- lui sera accordée à titre de participation à ses frais et dépens (art. 61 let. g LPGA et 89H al. 3 LPA). La procédure n’étant plus gratuite, l’intimé sera condamné au paiement d'un émolument de CHF 200.- (art. 69 al.1bis LAI).</w:t>
      </w:r>
    </w:p>
    <w:p>
      <w:r>
        <w:t>A/2641/2023 - 15/15 -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