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ATAS/26/2026 vom 19. Januar 2026</w:t>
      </w:r>
    </w:p>
    <w:p>
      <w:r>
        <w:t>GE Cour de justice, 2026-01-19, FR</w:t>
      </w:r>
    </w:p>
    <w:p>
      <w:r>
        <w:rPr>
          <w:b/>
        </w:rPr>
        <w:t xml:space="preserve">Quelle: </w:t>
      </w:r>
      <w:r>
        <w:t>https://mcp.opencaselaw.ch/entscheid/ge_gerichte_ATAS_26_2026</w:t>
      </w:r>
    </w:p>
    <w:p>
      <w:r>
        <w:t>FR: GE_GERICHTE ATAS/26/2026 du 19 janvier 2026</w:t>
      </w:r>
    </w:p>
    <w:p>
      <w:r>
        <w:t>IT: GE_GERICHTE ATAS/26/2026 del 19 gennaio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LAI.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régie par les dispositions de la LPGA et de la loi sur la procédure administrative, du 12 septembre 1985 (LPA - E 5 10). Interjeté dans la forme (art. 61 let. b LPGA) et le délai de trente jours (art. 60 al. 1 LPGA ; art. 62 al. 1 let. a LPA) prévus par la loi, le recours est recevable.</w:t>
      </w:r>
    </w:p>
    <w:p>
      <w:r>
        <w:rPr>
          <w:b/>
        </w:rPr>
        <w:t>E. 2.1</w:t>
      </w:r>
    </w:p>
    <w:p>
      <w:r>
        <w:t>Le 1er janvier 2022, les modifications de la LAI du 19 juin 2020 (développement continu de l’AI ; RO 2021 705) ainsi que celles du 3 novembre 2021 du règlement sur l’assurance-invalidité du 17 janvier 1961 (RAI - RS 831.201 ; RO 2021 706) sont entrées en vigueur.</w:t>
      </w:r>
    </w:p>
    <w:p>
      <w:r>
        <w:rPr>
          <w:b/>
        </w:rPr>
        <w:t>E. 2.2</w:t>
      </w:r>
    </w:p>
    <w:p>
      <w:r>
        <w:t>En l’absence de disposition transitoire spéciale, ce sont les principes généraux de droit intertemporel qui prévalent, à savoir l’application du droit en vigueur lorsque les faits déterminants se sont produits (ATF 144 V 210 consid. 4.3.1).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t>A/1270/2025 - 10/19 -</w:t>
      </w:r>
    </w:p>
    <w:p>
      <w:r>
        <w:rPr>
          <w:b/>
        </w:rPr>
        <w:t>E. 2.3</w:t>
      </w:r>
    </w:p>
    <w:p>
      <w:r>
        <w:t>En l’occurrence, un éventuel droit à une rente d’invalidité naîtrait au plus tôt en février 2024, soit six mois après le dépôt de la demande du 23 août 2023 (art. 29 al. 1 LAI), de sorte que les dispositions légales applicables seront citées dans leur nouvelle teneur.</w:t>
      </w:r>
    </w:p>
    <w:p>
      <w:r>
        <w:rPr>
          <w:b/>
        </w:rPr>
        <w:t>E. 3.1</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w:t>
      </w:r>
    </w:p>
    <w:p>
      <w:r>
        <w:rPr>
          <w:b/>
        </w:rPr>
        <w:t>E. 3.2</w:t>
      </w:r>
    </w:p>
    <w:p>
      <w:r>
        <w:t>; 139 V 176 consid. 5.3 et les références). Aussi n’existe-t-il pas, en droit des assurances sociales, un principe selon lequel l’administration ou le juge devrait statuer, dans le doute, en faveur de l’assuré (ATF 135 V 39 consid. 6.1 et la référence). 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3.3</w:t>
      </w:r>
    </w:p>
    <w:p>
      <w:r>
        <w:t>En l’espèce, la recourante conteste que son état de santé lui permette de travailler. Partant, le litige porte sur le bien-fondé de la décision de l'intimé de lui nier le droit à une rente d’invalidité.</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w:t>
      </w:r>
    </w:p>
    <w:p>
      <w:r>
        <w:rPr>
          <w:b/>
        </w:rPr>
        <w:t>E. 9</w:t>
      </w:r>
    </w:p>
    <w:p>
      <w:r>
        <w:t>En l’espèce, dans la décision litigieuse du 11 mars 2025, l’intimé a retenu, en se fondant sur les conclusions du SMR des 28 novembre 2024 et 10 mars 2025, elles-mêmes fondées sur le rapport d’expertise du Dr H______, que la recourante avait connu une aggravation de son état de santé dès le 13 décembre 2023 – date à compter de laquelle elle présentait une incapacité de travail totale dans toute activité professionnelle –, mais que dès le 1er juillet 2024, elle avait récupéré une capacité de travail totale dans une activité adaptée à son état de santé. La recourante conteste cette appréciation, soutenant ne pas être en mesure de travailler en raison des douleurs dont elle indique souffrir. À l’appui de son recours, elle a produit des pièces médicales figurant dans le dossier examiné par l’expert ainsi que le rapport de la Dre I______ du 4 mars 2025, joint à son opposition au projet de décision du 9 décembre 2024. Dans la mesure où l’intimé fonde sa décision sur le rapport d’expertise du Dr H______, il convient d’en examiner la valeur probante.</w:t>
      </w:r>
    </w:p>
    <w:p>
      <w:r>
        <w:rPr>
          <w:b/>
        </w:rPr>
        <w:t>E. 9.1</w:t>
      </w:r>
    </w:p>
    <w:p>
      <w:r>
        <w:t>À titre liminaire, la chambre de céans relève que le rapport de l’expert a été établi en parfaite connaissance du dossier médical, dont les rapports médicaux sont exposés et résumés sur plusieurs pages. Il contient, en outre, une anamnèse personnelle, familiale, médicale et professionnelle complète et l’expert a rapporté ses observations cliniques de manière détaillée. Il a notamment interrogé l’intéressée dans le cadre d’un entretien ouvert, puis de façon plus détaillée sur ses antécédents, ses divers troubles, leur apparition et l’évolution des limitations, les traitements et la gestion des troubles au quotidien. L’expertisée a pu décrire le travail qu’elle occupait avant son atteinte à la santé, sa journée-type et s’exprimer sur ses plaintes et ses troubles de la santé. L’expert a posé des diagnostics clairs et évalué la cohérence et la plausibilité, ainsi que les ressources et les capacités de l’intéressée. Il a énuméré les restrictions retenues et s’est déterminé sur la capacité</w:t>
      </w:r>
    </w:p>
    <w:p>
      <w:r>
        <w:t>A/1270/2025 - 16/19 - de travail, dans l’activité habituelle et dans un métier adapté. Ses conclusions, dûment motivées, sont convaincantes. Partant, le rapport d’expertise, établi en pleine connaissance du dossier, après des examens complets et une analyse approfondie de la situation, en tenant compte des doléances de l’intéressé, répond à tous les réquisits jurisprudentiels pour se voir reconnaître prima facie une pleine valeur probante. Sur le fond, l’expert a retenu les mêmes diagnostics que les médecins traitants de la recourante, à savoir une maladie de Madelung bilatérale, un status après ostéotomie de raccourcissement de l’ulna gauche en avril 2017, un status après ablation du matériel d’ostéosynthèse du poignet gauche en novembre 2023, une arthrose radio-carpienne gauche et arthrose radio-ulnaire distale gauche, un status après ostéotomie correctrice radiale et cubitale droite en juillet 2018, un status après ablation du matériel d’ostéosynthèse du poignet droit en avril 2022 et un status après fracture de la malléole postérieure de la cheville gauche et lésion syndesmotique en décembre 2023. Les pièces médicales figurant au dossier ne contiennent pas de diagnostics différentiels. L’expert, tout comme les médecins traitants de la recourante, a considéré que la capacité de travail de la recourante dans son activité habituelle de serveuse était nulle depuis 2017, soit depuis la découverte de la maladie de Madelung. S’agissant de sa capacité de travail dans une activité adaptée, l’expert a retenu que sa capacité de travail était entière dans une activité respectant les limitations fonctionnelles suivantes : les marches prolongées en terrains irréguliers, les ports de charges de plus de 5 kg, les travaux nécessitant une importante force de préhension avec les deux mains, les travaux nécessitant des mouvements répétés des deux poignets et des deux mains et l’usage d’outils vibrants. En ce qui concerne les membres supérieurs, les conclusions de l’expert concordent avec celles des médecins consultés par la recourante. En effet, le Dr F______ a considéré, dans son rapport du 20 octobre 2023 joint à sa seconde demande, qu’une activité professionnelle adaptée à son état de santé pourrait être effectuée. De même, la Dre C______ a indiqué, dans son rapport du 25 novembre 2022, que la recourante était en mesure d’effectuer une activité manuelle adaptée à ses douleurs, peu répétitive et ne nécessitant pas de port de charges, de sorte que sa capacité de travail était de 100% dans une activité adaptée. S’agissant du rapport de la Dre I______ du 4 mars 2025, celui-ci ne se prononce pas sur la capacité de travail de l’assurée dans une activité adaptée. Les limitations d’utilisation du poignet gauche qui y sont décrites, lesquelles sont relatives notamment à une flexion-extension limitée et à une force de serrage réduite à gauche, ont été constatées et prises en considération par l’expert dans son rapport. S’agissant de la chirurgie palliative projetée, elle était déjà envisagée au moment de l’expertise, de sorte que l’expert s’est prononcé sur les conséquences de cette</w:t>
      </w:r>
    </w:p>
    <w:p>
      <w:r>
        <w:t>A/1270/2025 - 17/19 - opération, qui est, selon lui, susceptible d’entraîner une incapacité de travail entière dans toute activité d’environ six mois. S’agissant des membres inférieurs, si le Dr G______ a indiqué, dans son rapport du 8 mai 2024, qu’en raison de son atteinte à la cheville, la recourante n’était pas en mesure d’exercer une activité professionnelle adaptée à son état de santé, il ressort de ses explications qu’il se référait en réalité à son activité de serveuse, puisqu’il indique qu’elle était incapable de faire du service, de marcher toute la journée et de travailler debout. Le Dr G______ a pour le reste noté une évolution globalement favorable depuis l’intervention du mois de décembre 2023. Quant à l’expert, il a relevé dans son rapport que la recourante avait recouvré un périmètre de marche satisfaisant. À cet égard, il sera noté que la recourante ne se plaint plus de sa cheville dans son recours, concentrant son argumentation sur ses atteintes aux poignets qui, selon elle, l’empêcheraient de travailler.</w:t>
      </w:r>
    </w:p>
    <w:p>
      <w:r>
        <w:rPr>
          <w:b/>
        </w:rPr>
        <w:t>E. 9.2</w:t>
      </w:r>
    </w:p>
    <w:p>
      <w:r>
        <w:t>Au vu de ce qui précède, force est de constater que la recourante n’a pas fourni d’éléments objectifs précis qui seraient de nature à mettre en doute les conclusions de l’expert et qui justifieraient ainsi, d’un point de vue médical, de mettre en œuvre un complément d’instruction. En effet, elle n’a produit aucun rapport de son médecin ou d’un autre professionnel de la santé, dans lequel les constatations et conclusions de l’expert et du SMR seraient contestées. Partant, le caractère probant de l'instruction médicale menée par l'intimé doit être confirmé, de sorte qu’il convient de se rallier aux conclusions de l’expert au sujet de la capacité de travail de la recourante. C’est donc à juste titre que l’office intimé a retenu une capacité de travail nulle dans l’activité habituelle de serveuse mais entière dans une activité adaptée aux limitations fonctionnelles susmentionnées. La chambre de céans retiendra ainsi, conformément aux conclusions du rapport d’expertise et du SMR, que la capacité de travail de la recourante était nulle dans toute activité à compter du 10 avril 2017, puis entière dans une activité adaptée aux limitations fonctionnelles dès le 25 novembre 2022, puis à nouveau nulle dès le 13 décembre 2023 (date de l’opération de la cheville gauche), et entière à compter du 1er juillet 2024. Son incapacité de travail dans toute activité depuis le dépôt de sa demande ayant duré moins d’une année, c’est à juste titre que l’office intimé a constaté que les conditions d’ouverture du droit à une rente n’étaient pas données.</w:t>
      </w:r>
    </w:p>
    <w:p>
      <w:r>
        <w:rPr>
          <w:b/>
        </w:rPr>
        <w:t>E. 9.3</w:t>
      </w:r>
    </w:p>
    <w:p>
      <w:r>
        <w:t>Pour le surplus, le calcul de l'invalidité opéré par l'intimé est conforme au droit. Le choix de l'intimé de fonder le revenu d'invalide et de valide en fonction des statistiques doit être confirmé puisque, d'une part, la recourante n'a pas repris d'emploi après son invalidité et, d'autre part, elle n'a que très peu travaillé en Suisse. Son dernier revenu de personne valide n'apparaît ainsi pas représentatif de ce qu'elle aurait été en mesure de réaliser en bonne santé.</w:t>
      </w:r>
    </w:p>
    <w:p>
      <w:r>
        <w:t>A/1270/2025 - 18/19 - Dans les situations où les revenus de valide et d'invalide sont fixés sur les mêmes tabelles statistiques, il est inutile de chiffrer précisément ces deux revenus, le taux d'invalidité se confondant avec le taux d'incapacité de travail. Il en découle que l’intimé était fondé à nier le droit de la recourante à une rente, compte tenu de l’absence d’incapacité de gain.</w:t>
      </w:r>
    </w:p>
    <w:p>
      <w:r>
        <w:rPr>
          <w:b/>
        </w:rPr>
        <w:t>E. 10</w:t>
      </w:r>
    </w:p>
    <w:p>
      <w:r>
        <w:t>Par conséquent, le recours est rejeté. La procédure en matière d'assurance-invalidité n'étant pas gratuite (art. 69 al. 1bis LAI), un émolument de CHF 200.- est mis à la charge de la recourante.</w:t>
      </w:r>
    </w:p>
    <w:p>
      <w:r>
        <w:t>A/1270/2025 - 19/19 -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