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ATAS/26/2020 vom 16. Januar 2020</w:t>
      </w:r>
    </w:p>
    <w:p>
      <w:r>
        <w:t>GE Cour de justice, 2020-01-16, FR</w:t>
      </w:r>
    </w:p>
    <w:p>
      <w:r>
        <w:rPr>
          <w:b/>
        </w:rPr>
        <w:t xml:space="preserve">Quelle: </w:t>
      </w:r>
      <w:r>
        <w:t>https://mcp.opencaselaw.ch/entscheid/ge_gerichte_ATAS_26_2020</w:t>
      </w:r>
    </w:p>
    <w:p>
      <w:r>
        <w:t>FR: GE_GERICHTE ATAS/26/2020 du 16 janvier 2020</w:t>
      </w:r>
    </w:p>
    <w:p>
      <w:r>
        <w:t>IT: GE_GERICHTE ATAS/26/2020 del 16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prescrits par la loi, le présent recours est recevable (art. 56 à 61 LPGA).</w:t>
      </w:r>
    </w:p>
    <w:p>
      <w:r>
        <w:rPr>
          <w:b/>
        </w:rPr>
        <w:t>E. 3</w:t>
      </w:r>
    </w:p>
    <w:p>
      <w:r>
        <w:t>L'objet du litige tel que circonscrit par les conclusions du recours porte sur le droit de la recourante à une rente d’invalidité au-delà du 31 décembre 2016.</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w:t>
      </w:r>
    </w:p>
    <w:p>
      <w:r>
        <w:t>A/3034/2018 - 16/23 - 60 % au moins, à une demi-rente s’il est invalide à 50 % au moins ou à un quart de rente s’il est invalide à 40 % au moins.</w:t>
      </w:r>
    </w:p>
    <w:p>
      <w:r>
        <w:rPr>
          <w:b/>
        </w:rPr>
        <w:t>E. 6</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9C_1012/2008 du 30 juin 2009 consid. 3.2.1).</w:t>
      </w:r>
    </w:p>
    <w:p>
      <w:r>
        <w:rPr>
          <w:b/>
        </w:rPr>
        <w:t>E. 7</w:t>
      </w:r>
    </w:p>
    <w:p>
      <w:r>
        <w:t>a. Afin de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w:t>
      </w:r>
    </w:p>
    <w:p>
      <w:r>
        <w:t>A/3034/2018 - 17/23 -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arrêt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w:t>
      </w:r>
    </w:p>
    <w:p>
      <w:r>
        <w:t>A/3034/2018 - 18/23 -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A/3034/2018 - 19/23 -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t>A/3034/2018 - 20/23 -</w:t>
      </w:r>
    </w:p>
    <w:p>
      <w:r>
        <w:rPr>
          <w:b/>
        </w:rPr>
        <w:t>E. 9</w:t>
      </w:r>
    </w:p>
    <w:p>
      <w:r>
        <w:t>Dans un arrêt de 2017, le Tribunal fédéral a étendu la jurisprudence précitée à toutes les maladies psychiques (ATF 143 V 409 consid. 4.5). On peut préciser que les troubles sans preuve d'un déficit organique sont assimilés, en relation avec leurs effets invalidants, aux atteintes psychosomatiques sans étiologie claire pour des raisons qui tiennent à l'égalité de traitement, et qu'ils sont évalués selon les règles valables par analogie pour celles-ci (arrêt du Tribunal fédéral 9C_553/2018 du 22 janvier 2019 consid. 3.3). Il convient encore d’ajouter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10</w:t>
      </w:r>
    </w:p>
    <w:p>
      <w:r>
        <w:t>L’intimé indique avoir fondé sa décision sur les conclusions du Pr I______ et de Mme J______. Avant même d’aborder la question de la valeur probante de leur expertise, il faut souligner que la décision de l’intimé paraît déjà erronée en tant qu’elle retient une capacité de travail totale de la recourante dans son activité habituelle. En effet, les seconds experts ont considéré que la capacité de travail de la recourante était nulle dans cette activité, et qu’une reprise dans ce domaine l’exposerait à un très important risque de rechute. Ainsi, en toute hypothèse, l’intimé aurait dû procéder à une comparaison des gains dans l’activité habituelle et une activité adaptée afin de déterminer le degré d’invalidité de la recourante. En outre, le Pr I______ et Mme J______ ne se prononcent que sur les atteintes psychiques de la recourante. Or, cette dernière souffre de migraines. Elle semble du reste considérer que seule cette atteinte est invalidante, si l’on se réfère à ses propos, tels que rapportés par les Drs F______ et G______. C’est également essentiellement de ce trouble qu’elle s’est plainte lors des nombreux entretiens avec l’intimé. Les premiers experts ont eux-mêmes retenu un diagnostic de migraines, avec incidence sur la capacité de travail. La seconde expertise psychiatrique diligentée par l’intimé a également conclu que la problématique centrale n’était pas d’ordre psychique, se référant implicitement aux migraines de la recourante. Il est vrai que le neurologue de la recourante justifie les incapacités de travail de la recourante non par les migraines et céphalées, mais par un état dépressif. Ses rapports ne sont toutefois pas suffisamment motivés pour écarter toute répercussion d’une éventuelle atteinte neurologique sur la capacité de gain de la recourante.</w:t>
      </w:r>
    </w:p>
    <w:p>
      <w:r>
        <w:t>A/3034/2018 - 21/23 - Malgré ce qui précède, les migraines et leur éventuel caractère incapacitant n’ont nullement été investigués par l’intimé, alors qu’il lui appartenait d’examiner ces points conformément à son obligation d’instruire d’office. On peut du reste s’étonner du fait que la Dresse H______, se référant semble-t-il aux conclusions prises par les Drs G______ et F______ quant au caractère invalidant des migraines, ait reproché à ces experts d’être sortis de leur domaine de compétence, tout en persistant dans la mise en œuvre d’une expertise psychiatrique et en éludant le volet neurologique. S’agissant des expertises psychiatriques, elles appellent les commentaires suivants. Les Drs F______ et G______ ont rendu un rapport détaillé, qui du point de vue formel comprend tous les éléments nécessaires pour se voir reconnaître valeur probante. Toutefois, comme on l’a vu, ces experts ont notamment conclu à des migraines avec aura. Or, ce diagnostic relève de la neurologie. La constatation de cette atteinte et les conclusions quant à ses répercussions sur la capacité de gain de la recourante sont donc exorbitantes du domaine de compétence de ces experts psychiatres. On ne peut ainsi pas conférer valeur probante à leur rapport sur ce point (arrêt du Tribunal fédéral 9C_745/2010 du 30 mars 2011 consid. 3.2). Dès lors que ces médecins n’ont pas pris de conclusions distinguant les effets sur la capacité de gain de chaque atteinte à la santé, leur rapport ne permet pas de trancher la question de savoir si les troubles psychiques suffisent à justifier une incapacité de gain ouvrant le droit à une rente. En ce qui concerne le rapport du Pr I______ et de Mme J______, il ne peut pas non plus se voir reconnaître valeur probante. En effet, cette expertise ne se prononce pas sur les indicateurs déterminants selon la jurisprudence, notamment en ce qui concerne les critères de la cohérence et des ressources. Sur ce point, il faut souligner que ces experts n’ont même pas discuté la diminution des activités de la recourante évoquée par les Drs F______ et G______. Par ailleurs, il aurait été essentiel qu’ils motivent leurs diagnostics de manière circonstanciée, dans la mesure où ils s’écartent des atteintes retenues par les précédents experts. Or, ils ont omis d’exposer ce qui leur permettait d’exclure un trouble anxieux, ce qui était pourtant nécessaire au vu des stratégies d’évitement mises en place par la recourante et rapportées par les Drs F______ et G______. Ils n’ont pas non plus exposé les critères fondant le diagnostic de trouble organique de l'humeur de degré de gravité léger. En particulier, dès lors qu’ils n’ont pas indiqué si l’état de santé de la recourante s’était modifié depuis 2014, on ignore si les différences de diagnostics par rapport aux premiers experts résultent d’une simple divergence d’appréciation ou s’expliquent par une évolution favorable. Par conséquent, cette expertise ne peut pas non plus se voir reconnaître valeur probante.</w:t>
      </w:r>
    </w:p>
    <w:p>
      <w:r>
        <w:rPr>
          <w:b/>
        </w:rPr>
        <w:t>E. 11</w:t>
      </w:r>
    </w:p>
    <w:p>
      <w:r>
        <w:t>Compte tenu de ce qui précède, la chambre de céans ne dispose pas des éléments nécessaires pour trancher le litige.</w:t>
      </w:r>
    </w:p>
    <w:p>
      <w:r>
        <w:t>A/3034/2018 - 22/23 -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l’intimé a ignoré l’aspect neurologique. Les plaintes neurologiques et les troubles psychiques paraissent en l’espèce très imbriqués. Il est donc essentiel que la nature et l’incidence de ces troubles et leurs interférences soient analysées de manière consensuelle par des spécialistes en neurologie et en psychiatrie dans le cadre d’une expertise bidisciplinaire. La cause doit ainsi être renvoyée à l’intimé, à charge pour ce dernier de mettre en œuvre une expertise comportant des volets neurologique et psychiatrique, en respectant les exigences jurisprudentielles en matière de droit d’être entendu (ATF 137 V 210 consid. 3.2.4.6 et 3.2.4.9), avant de rendre une nouvelle décision sur le droit aux prestations.</w:t>
      </w:r>
    </w:p>
    <w:p>
      <w:r>
        <w:rPr>
          <w:b/>
        </w:rPr>
        <w:t>E. 12</w:t>
      </w:r>
    </w:p>
    <w:p>
      <w:r>
        <w:t>Le recours est partiellement admis. La recourante a droit à des dépens qui seront fixés à CHF 2'000.- (art. 61 let. g LPGA). La procédure en matière d’octroi de prestations de l’assurance-invalidité n’étant pas gratuite (art. 69 al. 1bis LAI), l’intimé succombe et un émolument de procédure de CHF 500.- sera mis à sa charge.</w:t>
      </w:r>
    </w:p>
    <w:p>
      <w:r>
        <w:t>A/3034/2018 - 23/23 -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