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ATAS/26/2019 vom 17. Januar 2019</w:t>
      </w:r>
    </w:p>
    <w:p>
      <w:r>
        <w:t>GE Cour de justice, 2019-01-17, FR</w:t>
      </w:r>
    </w:p>
    <w:p>
      <w:r>
        <w:rPr>
          <w:b/>
        </w:rPr>
        <w:t xml:space="preserve">Quelle: </w:t>
      </w:r>
      <w:r>
        <w:t>https://mcp.opencaselaw.ch/entscheid/ge_gerichte_ATAS_26_2019</w:t>
      </w:r>
    </w:p>
    <w:p>
      <w:r>
        <w:t>FR: GE_GERICHTE ATAS/26/2019 du 17 janvier 2019</w:t>
      </w:r>
    </w:p>
    <w:p>
      <w:r>
        <w:t>IT: GE_GERICHTE ATAS/26/2019 del 17 gennaio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forme et délai prescrits par la loi, le recours du 24 mai 2018 contre la décision sur opposition du 26 avril 2018 est recevable (art. 56 et 60 LPGA).</w:t>
      </w:r>
    </w:p>
    <w:p>
      <w:r>
        <w:rPr>
          <w:b/>
        </w:rPr>
        <w:t>E. 3</w:t>
      </w:r>
    </w:p>
    <w:p>
      <w:r>
        <w:t>Le litige porte sur le droit de la recourante à la prise en charge de 72 séances de physiothérapie en 2018, en lieu et place des 36 séances accordées.</w:t>
      </w:r>
    </w:p>
    <w:p>
      <w:r>
        <w:rPr>
          <w:b/>
        </w:rPr>
        <w:t>E. 4</w:t>
      </w:r>
    </w:p>
    <w:p>
      <w:r>
        <w:t>a. L’assurance-maladie sociale alloue des prestations en cas de maladie (art. 1a al. 2 let. a LAMal). Est réputée maladie toute atteinte à la santé physique, mentale ou psychique qui n’est pas due à un accident et qui exige un examen ou un traitement médical ou provoque une incapacité de travail (art. 3 LPGA). b. En matière d'assurance-maladie, l'entrée en vigueur de la LPGA n'a pas apporté de modification - si ce n'est d'ordre rédactionnel - au contenu des notions de maladie, d'accident et de maternité, telles qu'elles étaient définies à l'ancien art. 2 LAMal, abrogé avec l'entrée en vigueur de la LPGA au 1er janvier 2003. La jurisprudence développée à leur propos jusqu'à ce jour peut ainsi être reprise et appliquée (ATF 130 V 344 consid. 2.2 ; KIESER, ATSG-Kommentar, Kommentar zum Bundesgesetz über den Allgemeinen Teil des Sozialversicherungsrecht vom</w:t>
      </w:r>
    </w:p>
    <w:p>
      <w:r>
        <w:rPr>
          <w:b/>
        </w:rPr>
        <w:t>E. 6</w:t>
      </w:r>
    </w:p>
    <w:p>
      <w:r>
        <w:t>a. Aux termes de l’art. 32 LAMal,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D’après l’art. 34 al. 1 LAMal, les assureurs ne peuvent pas prendre en charge, au titre de l’assurance obligatoire des soins, d’autres coûts que ceux des prestations prévues aux art. 25 à 33 LAMal. b.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 critère de l’économicité concerne le rapport entre les coûts et le bénéfice de la mesure, lorsque dans le cas concret différentes formes et/ou méthodes de traitement</w:t>
      </w:r>
    </w:p>
    <w:p>
      <w:r>
        <w:t>A/1762/2018 - 13/22 - efficaces et appropriées entrent en ligne de compte pour combattre une maladie (ATF 127 V 146 consid. 5 ; RAMA 2004 n° KV 272 p. 111 consid. 3.1.2).</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A/1762/2018 - 14/22 -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w:t>
      </w:r>
    </w:p>
    <w:p>
      <w:r>
        <w:t>A/1762/2018 - 15/22 -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9</w:t>
      </w:r>
    </w:p>
    <w:p>
      <w:r>
        <w:t>En l’espèce, la chambre de céans relève à titre préalable que, dans sa décision du 5 février 2018 confirmée sur opposition le 26 avril 2018, l’intimée a limité sa prise en charge à 36 séances de physiothérapie pour l’année 2018. Elle a précisément exposé les raisons pour lesquelles elle considérait que la physiothérapie ne devait pas être intensifiée par rapport au traitement admis pour 2017, niant ainsi d’emblée le droit de la recourante à des séances supplémentaires, en dépit des propositions contraires et argumentées des médecins consultés. Elle ne saurait donc parallèlement soutenir que le droit à la prolongation d’un traitement de physiothérapie ne devrait être examiné qu’après l’accomplissement des 36 premières séances. En outre, il est compréhensible que la recourante ait souhaité que cette question soit tranchée au début du traitement, de manière à lui permettre d’échelonner ses séances en conséquence pour que son droit ne soit pas épuisé après quelques semaines.</w:t>
      </w:r>
    </w:p>
    <w:p>
      <w:r>
        <w:rPr>
          <w:b/>
        </w:rPr>
        <w:t>E. 10</w:t>
      </w:r>
    </w:p>
    <w:p>
      <w:r>
        <w:t>La recourante se réfère aux rapports des Drs B______, I_____ et J_____, et soutient qu’elle présente deux affections distinctes qui nécessitent chacune la prise en charge de 36 séances, soit un total de 72 séances. L’intimée quant à elle a retenu, sur la base des avis des Drs E_____ et H_____, que les pathologies dont souffre la recourante ne justifient pas l’octroi de plus de 36 séances de physiothérapie.</w:t>
      </w:r>
    </w:p>
    <w:p>
      <w:r>
        <w:rPr>
          <w:b/>
        </w:rPr>
        <w:t>E. 11</w:t>
      </w:r>
    </w:p>
    <w:p>
      <w:r>
        <w:t>a. En ce qui concerne la valeur probante des rapports du Dr B______, ce dernier a indiqué, dans son rapport du 26 septembre 2016, que sa patiente suivait une séance de physiothérapie par semaine, voire deux en cas de crise, sans préciser la fréquence de ces dernières. Par la suite, dans son rapport du 18 juillet 2017, il a retenu que ces les deux atteintes présentées par la recourante, à savoir, d’une part, des lombalgies sur une discopathie protrusive L4-L5 avec des sciatiques à bascule et une souffrance osseuse du plateau supérieur de L5 appelée Modic 1 et, d’autre part, une hypercyphose dorsale maquée (50°) créant des dorsalgies hautes,</w:t>
      </w:r>
    </w:p>
    <w:p>
      <w:r>
        <w:t>A/1762/2018 - 16/22 - nécessitaient « 2 x 36 » séances de physiothérapie. Il a indiqué que les douleurs liées à la première atteinte pouvaient perdurer « un à trois ans » et la protrusion devenir une hernie si elle se latéralisait. Enfin, dans son courrier adressé à l’intimée le 27 novembre 2017, le Dr B______ a sollicité la prise en charge de 72 séances de physiothérapie pour l’année 2018, se référant pour l’essentiel à l’avis du Dr I_____. Force est donc de constater que le médecin traitant n’a pas développé la moindre argumentation quant aux critères d’efficacité, d’appropriation et d’économicité du traitement qu’il a suggéré. b. Quant au Dr I_____, il a estimé, dans son rapport du 24 novembre 2017, que le traitement de physiothérapie tel que pris en charge par l’intimée, soit 36 séances par année, devait être intensifié. Il n’a cependant pas précisé à quelle fréquence les séances devaient se dérouler selon lui. On ne saurait donc déduire de son rapport que les troubles dont souffre la recourante requièrent le suivi de 72 séances annuelles de physiothérapie. De surcroît, le Dr I_____ n’a pas examiné si les exigences de l'efficacité, de l'adéquation et du caractère économique du traitement étaient remplies. S’agissant du caractère efficace, il a fait état de l’absence de réponse au traitement médicamenteux et de physiothérapie « jusqu’à présent », bien que ceci permette une atténuation des symptômes. Il n’a livré aucune explication quant au résultat thérapeutique visé par les séances de physiothérapie. Il n’a pas non plus examiné si d’autres mesures, notamment l’acupuncture qui permettait également de soulager les symptômes de façon temporaire, les exercices pratiqués à domiciles, ou encore l’intégration à un programme de rééducation intensive au service de rhumatologie pourraient constituaient des alternatives appropriées et plus économiques. c. À l’appui de son recours, l’intéressée a produit un rapport du 7 mai 2018 du Dr J_____, lequel a confirmé la présence de deux problématiques distinctes, soit des cervico-dorsalgies en relation avec la cyphose dorsale relativement marquée et des lombalgies chroniques en lien avec des discopathies L4-S1. Si le rhumatologue a expliqué qu’il était nécessaire de séparer les séances de physiothérapie pour traiter ces deux régions de façon correcte, il n’a toutefois pas examiné les critères qui doivent être remplis pour que l’intimée ait à prendre en charge de tels traitements. Faute de se prononcer sur les points décisifs, le rapport du Dr J_____ ne permet pas non plus de conclure que la recourante a droit à la prise en charge de 72 séances de physiothérapie pour l’année 2018.</w:t>
      </w:r>
    </w:p>
    <w:p>
      <w:r>
        <w:rPr>
          <w:b/>
        </w:rPr>
        <w:t>E. 12</w:t>
      </w:r>
    </w:p>
    <w:p>
      <w:r>
        <w:t>a. S’agissant de la valeur probante des avis de la Dresse E_____, cette dernière a noté, dans son rapport du 6 juillet 2017, que la recourante souffrait de lombalgies et que les structures lombaires atteintes étaient une dessiccation discale sans conflit disco-radiculaire et des troubles dégénératifs inflammatoires du plateau supérieur de « L1 ». Force est de constater que le médecin-conseil n’a pas pris en considération la cyphose, pourtant diagnostiquée par le Dr B______. Cette</w:t>
      </w:r>
    </w:p>
    <w:p>
      <w:r>
        <w:t>A/1762/2018 - 17/22 - appréciation, incomplète faute de tenir compte l’état de santé global de la recourante, n’est pas déterminante. Rendue attentive sur ce point, la Dresse E_____ a exposé, dans son avis du 24 août 2017, que l’hypercyphose dorsale qualifiée de « marquée (50%) » était dans la « norme » et que l’atteinte lombaire était « discrète » car le plateau supérieur de la vertèbre L5 ne présentait qu’une dégénérescence de Modic 1. En l’absence de tout développement à cet égard, il est difficilement compréhensible que l’hypercyphose soit considérée simultanément comme « marquée » et « normale », et que la dégénérescence de Modic 1 puisse être qualifiée de « discrète », alors que le signal inflammatoire est « aigu » et « persistant » selon le Dr I_____. Concernant l’hypercyphose, on relèvera encore que les portions concernées de la colonne ne sont pas connues, tout comme l’étiologie de la pathologie ou encore ses éventuelles répercussions sur le reste de la colonne vertébrale. De plus, le médecin-conseil n’a pas fait mention des atteintes constatées lors de l’IRM du 28 avril 2017, en particulier de la sténose foraminale et de la hernie de Schmori, de sorte que ce nouvel avis semble lui aussi basé sur des informations lacunaires. Enfin, la Dresse E_____ a réfuté la présence de deux pathologies distinctes au motif que l’atteinte lombaire pouvait provoquer des dorsalgies et des lombalgies car les vertèbres se chevauchaient et la douleur pouvait irradier vers la colonne thoracale. Le fait que l’atteinte lombaire soit de nature à entraîner des douleurs au niveau de la colonne dorsale ne justifie cependant pas d’écarter l’existence des deux pathologies telles que retenues par le Drs B______ et J_____. Dans son avis du 30 janvier 2018, la Dresse E_____ a indiqué que les médecins consultés par la recourante n’avaient pas fait état de nouveaux diagnostics et que l’évolution était stable, sans dégradation de l’état de santé ni évolution de la maladie. Cet argumentaire n’est pas pertinent puisque le droit de la recourante à la prise en charge de plus de 36 séances de physiothérapie ne dépend pas d’une aggravation de son état de santé. En outre, la Dresse E_____ a considéré que les IRM de 2015 et 2017 étaient sans particularité, ce qui est surprenant dès lors que ces examens ont mis en exergue, entre autres, une dessiccation discale en L4-L5, une sténose foraminale, une hernie intraspongieuse de Schmori ou encore un trouble dégénératif inflammatoire de type Modic 1. De plus, la Dresse E_____ a indiqué que le Dr I_____ n’avait rien noté de particulier à l’examen clinique, quand bien même ce médecin a signalé, outre des douleurs et une sensibilité à la palpation, une limitation de la mobilité lombaire dans toutes les directions. Ce médecin avait par ailleurs conclu que son examen clinique retrouvait un syndrome vertébral important, avec un signal inflammatoire « aigu persistant » du plateau supérieur de L5 à droite. Enfin, si le Dr I_____ a certes mentionné « une absence de réponse à un traitement médicamenteux et de physiothérapie », il a cependant ajouté « jusqu’à présent » et rappelé que ledit traitement atténuait les symptômes, de sorte qu’on ne saurait en déduire, comme le fait le médecin-conseil de l’intimée, qu’aucun effet</w:t>
      </w:r>
    </w:p>
    <w:p>
      <w:r>
        <w:t>A/1762/2018 - 18/22 - bénéfique ne peut être escompté de l’intensification du traitement de physiothérapie. Dans ces conditions, les avis de la Dresse E_____, lacunaires et insuffisamment motivés, ne sauraient être considérés comme probants. b. Quant au Dr H_____, il a exclu, dans son mémo du 11 septembre 2017, la présence de deux atteintes spécifiques et a indiqué que l’hypercyphose dorsale induisait forcément un trouble statique de la colonne et qu’il n’était pas surprenant qu’il y ait une surcharge lombaire. Il semble ainsi avoir considéré, sans pourtant étayer son appréciation, que la dessiccation en L4-L5, la sténose foraminale et l’atteinte inflammatoire sur la hernie résulteraient de la courbure dorsale. De telles conclusions paraissent en l’état prématurées, faute de renseignements suffisants sur l’hypercyphose de la recourante. En outre, le Dr H_____ a estimé qu’en présence d’un tel trouble fonctionnel du rachis, l’exercice physique avait davantage d’effets bénéfiques que la physiothérapie. Il semble ne pas avoir pris en considération le fait que la recourante effectue quotidiennement des exercices de physiothérapie et du vélo elliptique à domicile. À nouveau sollicité suite à l’opposition de la recourante, le Dr H_____ a retenu que la lombalgie commune diagnostiquée par le Dr I_____ consistait en des troubles fonctionnels « sans vrai substrat anatomique démontré », les discopathies étant banales et fréquentes. Ces affirmations sont difficilement compréhensibles en l’absence de toute justification. On rappellera notamment que l’IRM du 26 février 2015 a mis en exergue une dessiccation discale en L4-L5 avec la présence d’une protrusion et une anomalie de signal du plateau supérieure de L5 compatible avec un trouble dégénératif inflammatoire de type Modic I. L’IRM lombaire du 28 avril 2017 a permis de constater la stabilité des discopathies et de l’atteinte inflammatoire du plateau supérieur droit de L5 sur une hernie intraspongieuse de Schmori. En outre, une bascule postérieure du rachis avec une version antérieure du sacrum et une discopathie L4-L5 ont été observées lors de la radiographie de la colonne du 23 mars 2017. De surcroît, les propos du Dr H_____ quant à la banalité de telles atteintes, singulièrement chez une personne âgée de moins de 30 ans, ne sont nullement étayés. Enfin, l’argumentation du médecin-conseil selon laquelle une intensification du traitement envisagé ne serait ni économique ni appropriée, compte tenu de l’absence d’amélioration en dépit des 72 séances de physiothérapie suivies en 2017, est manifestement insuffisante pour refuser la prise en charge préconisée par trois médecins, dont le généraliste de la recourante, un spécialiste en neurochirurgie et un rhumatologue. Dans son rapport du 10 juin 2018, le Dr H_____ a une nouvelle fois nié la présence de deux pathologies distinctes permettant de justifier deux traitements de physiothérapie par semaine. Il s’est alors référé au degré de gravité attribué par le Dr J_____ à la cyphose dorsale et aux discopathies L4-S1. Son explication n’est cependant pas convaincante, étant rappelé que la première atteinte a été considérée comme « marquée », bien que non «sévère, et que les secondes sont nombreuses et</w:t>
      </w:r>
    </w:p>
    <w:p>
      <w:r>
        <w:t>A/1762/2018 - 19/22 - accompagnées d’un trouble inflammatoire dégénératif aigu et persistant. Le Dr H_____ a encore expliqué que les atteintes constatées chez la recourante étaient banales car lorsqu’une IRM était pratiquée sur une population asymptomatique, on retrouvait les atteintes constatées chez la recourante au niveau d’un étage dans 75% des cas et à deux niveaux dans 66% des cas. Il sied toutefois de rappeler le jeune âge de la recourante, née en 1991, élément sur lequel le médecin-conseil ne s’est pas prononcé. Le Dr H_____ a ensuite exposé, s’agissant des courbures du rachis, que le but était que de profil, l’oreille tombe à la hauteur de la hanche. Dans un tel cas, le rachis était équilibré et les haubans musculaires le stabilisant avaient peu de travail. Si un déséquilibre survenait, comme lors d’une hypercyphose dorsale, alors les étages sus- et sous-jacents, soit cervical et lombaire, devaient le compenser. Il a conclu qu’on ne pouvait pas, dans un tel cas, parler de deux pathologies distinctes pour justifier deux traitements de physiothérapie par semaine. Étant rappelé que les Drs B______ et J_____ ont clairement fait état de deux pathologiques distinctes qui requéraient selon eux deux traitements séparés, les conclusions du Dr H_____, lequel n’a pas examiné la recourante et ne disposait pas de rapports médicaux détaillés sur l’hypercyphose, n’emportent pas la conviction de la chambre de céans.</w:t>
      </w:r>
    </w:p>
    <w:p>
      <w:r>
        <w:rPr>
          <w:b/>
        </w:rPr>
        <w:t>E. 13</w:t>
      </w:r>
    </w:p>
    <w:p>
      <w:r>
        <w:t>Au vu des conclusions contradictoires entre les médecins traitants et les médecins- conseils quant à l’existence de deux atteintes à la santé qui justifieraient d’être traitées séparément, il est indispensable d’ordonner une expertise judiciaire.</w:t>
      </w:r>
    </w:p>
    <w:p>
      <w:r>
        <w:rPr>
          <w:b/>
        </w:rPr>
        <w:t>E. 14</w:t>
      </w:r>
    </w:p>
    <w:p>
      <w:r>
        <w:t>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 Cst. - RS 101, art. 42 LPGA et art. 6 ch. 1 de la Convention de sauvegarde des droits de l’homme et des libertés fondamentales du 4 novembre 1950 [CEDH; RS 0.101]; ATF 137 V 210 consid. 3.2.4.6 et 3.2.4.9). L'assuré a le droit de se déterminer préalablement sur les questions à l'attention des experts dans le cadre de la décision de mise en œuvre de l'expertise (ATF 137 V 210 consid 3.4.2.9).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w:t>
      </w:r>
    </w:p>
    <w:p>
      <w:r>
        <w:t>A/1762/2018 - 20/22 -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atteint que l'assureur pourra ordonner une expertise, en rendant une décision qui pourra être attaquée par l'assuré (ATF 138 V 271 consid. 1.1).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(ATAS/226/2013 et ATAS/263/2013). Il n'en demeure pas moins qu'une partie ne saurait s’opposer à la désignation d’un expert sans donner des motifs valables, tels que des doutes sur son indépendance ou sa compétence. En effet, cela reviendrait à accorder à une partie un droit de veto sur le choix d'un expert (ATAS/1029/2017 du 16 novembre 2017).</w:t>
      </w:r>
    </w:p>
    <w:p>
      <w:r>
        <w:rPr>
          <w:b/>
        </w:rPr>
        <w:t>E. 15</w:t>
      </w:r>
    </w:p>
    <w:p>
      <w:r>
        <w:t>En l'espèce, les griefs invoqués par l'intimée relatifs à la compétence de l'expert désigné par la chambre de céans doivent être écartés, dès lors que la certification SIM n’est pas exigée par la chambre de céans dans le cadre des expertises judiciaires (ATAS/874/2018 du 3 octobre 2018) et que celle-ci a déjà confié plusieurs expertises au Prof. K_____ (ATAS/1079/2018 du 19 novembre 2018 et ATAS/839/2018 du 24 septembre 2018, notamment), sans qu'il ait été constaté que ce médecin serait incompétent pour y procéder du fait notamment de sa formation partielle à l'étranger.</w:t>
      </w:r>
    </w:p>
    <w:p>
      <w:r>
        <w:rPr>
          <w:b/>
        </w:rPr>
        <w:t>E. 16</w:t>
      </w:r>
    </w:p>
    <w:p>
      <w:r>
        <w:t>Le mandat d’expertise sera ainsi confié au Prof. K_____, qui devra examiner la recourante et prendre tout renseignement utile auprès des médecins, cas échéant physiothérapeutes, déjà consultés. Il lui incombera de déterminer les pathologies présentées par la recourante et d’indiquer si celles-ci atteignent une certaine ampleur ou intensité rendant nécessaires des soins médicaux. L’expert se prononcera également sur le traitement requis, soit la prise en charge de 72 séances de physiothérapie pour l’année 2018.</w:t>
      </w:r>
    </w:p>
    <w:p>
      <w:r>
        <w:t>PAR CES MOTIFS, LA CHAMBRE DES ASSURANCES SOCIALES :</w:t>
      </w:r>
    </w:p>
    <w:p>
      <w:r>
        <w:t>A/1762/2018 - 21/22 - Statuant préparatoirement</w:t>
      </w:r>
    </w:p>
    <w:p>
      <w:r>
        <w:t>1. Ordonne une expertise médicale et la confie au Professeur K_____, spécialiste FMH en rhumatologie. 2. Dit que la mission d’expertise sera la suivante : a) Prendre connaissance du dossier de la cause. b) Examiner la recourante. c) Recueillir toute information médicale nécessaire, notamment auprès des docteurs B______, spécialiste FMH en médecine interne générale, I_____, spécialiste FMH en neurochirurgie, et J_____, spécialiste FMH en rhumatologie. d) Solliciter si besoin l’avis du ou des physiothérapeute(s) consulté(s). e) Établir un rapport détaillé et répondre aux questions suivantes : 1. Quelle est l’anamnèse détaillée du cas ? 2. Quels sont les diagnostics précis ? 3. S’agit-il d’une ou de plusieurs pathologies distinctes ? 4. Ces pathologies atteignent-elles une ampleur ou une intensité rendant nécessaires des soins médicaux ? 5. Cas échéant, les pathologies doivent-elles être traitées individuellement ou peuvent-elles être traitées efficacement ensemble ? 6. Est-ce qu'un traitement correspondant à 72 séances de physiothérapie répond aux conditions fixées par l’art. 32 LAMal, à savoir, est-il : a. efficace ? b. adéquat ? c. économique ? 7. Si tel n’est pas le cas, combien de séances peuvent être admises en vertu des conditions précitées ? 8. Quelles sont les autres méthodes de traitement médicalement indiquées qui pourraient être dispensées ? 3. Faire toutes autres constatations utiles.</w:t>
      </w:r>
    </w:p>
    <w:p>
      <w:r>
        <w:t>4. Invite l’expert à déposer, dans les trois mois dès réception de la mission, un rapport en trois exemplaires à la chambre de céans. 5. Réserve le sort des frais jusqu’à droit jugé.</w:t>
      </w:r>
    </w:p>
    <w:p>
      <w:r>
        <w:t>A/1762/2018 - 22/22 -</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