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ATAS/269/2026 vom 19. März 2026</w:t>
      </w:r>
    </w:p>
    <w:p>
      <w:r>
        <w:t>GE Cour de justice, 2026-03-19, FR</w:t>
      </w:r>
    </w:p>
    <w:p>
      <w:r>
        <w:rPr>
          <w:b/>
        </w:rPr>
        <w:t xml:space="preserve">Quelle: </w:t>
      </w:r>
      <w:r>
        <w:t>https://mcp.opencaselaw.ch/entscheid/ge_gerichte_ATAS_269_2026</w:t>
      </w:r>
    </w:p>
    <w:p>
      <w:r>
        <w:t>FR: GE_GERICHTE ATAS/269/2026 du 19 mars 2026</w:t>
      </w:r>
    </w:p>
    <w:p>
      <w:r>
        <w:t>IT: GE_GERICHTE ATAS/269/2026 del 19 marzo 2026</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À teneur de l’art. 1 al. 1 LAI, les dispositions de la LPGA s’appliquent à l’assurance-invalidité, à moins que la loi n’y déroge expressément.</w:t>
      </w:r>
    </w:p>
    <w:p>
      <w:r>
        <w:rPr>
          <w:b/>
        </w:rPr>
        <w:t>E. 1.3</w:t>
      </w:r>
    </w:p>
    <w:p>
      <w:r>
        <w:t>La procédure devant la Cour de céans est régie par les dispositions de la LPGA et de la loi sur la procédure administrative du 12 septembre 1985 (LPA – E 5 10).</w:t>
      </w:r>
    </w:p>
    <w:p>
      <w:r>
        <w:rPr>
          <w:b/>
        </w:rPr>
        <w:t>E. 1.4</w:t>
      </w:r>
    </w:p>
    <w:p>
      <w:r>
        <w:t>Le délai de recours est de trente jours (art. 56 LPGA ; art. 62 al. 1 de la loi sur la procédure administrative du 12 septembre 1985 [LPA - E 5 10]). Interjeté dans le délai prévu par la loi, le recours est recevable.</w:t>
      </w:r>
    </w:p>
    <w:p>
      <w:r>
        <w:rPr>
          <w:b/>
        </w:rPr>
        <w:t>E. 2.1</w:t>
      </w:r>
    </w:p>
    <w:p>
      <w:r>
        <w:t>Le 1er janvier 2022, les modifications de la LAI du 19 juin 2020 (développement continu de l’AI ; RO 2021 705) ainsi que celles du 3 novembre 2021 du règlement sur l’assurance-invalidité du 17 janvier 1961 (RAI – RS 831.201 ; RO 2021 706) sont entrées en vigueur. En l’absence de disposition transitoire spéciale, ce sont les principes généraux de droit intertemporel qui prévalent, à savoir l’application du droit en vigueur lorsque les faits déterminants se sont produits (cf. ATF 144 V 210 consid. 4.3.1 et la référence). Lors de l’examen d’une demande d’octroi de rente d’invalidité, est déterminant le moment de la naissance du droit éventuel à la rente. Si cette date est antérieure au 1er janvier 2022, la situation demeure régie par les anciennes dispositions légales et réglementaires en vigueur jusqu’au 31 décembre 2021. Si elle est postérieure au 31 décembre 2021, le nouveau droit s’applique (cf. arrêt du Tribunal fédéral 9C_60/2023 du 20 juillet 2023 consid. 2.2 et les références.</w:t>
      </w:r>
    </w:p>
    <w:p>
      <w:r>
        <w:rPr>
          <w:b/>
        </w:rPr>
        <w:t>E. 2.2</w:t>
      </w:r>
    </w:p>
    <w:p>
      <w:r>
        <w:t>En l’occurrence, un éventuel droit à une rente d’invalidité naîtrait au plus tôt en septembre 2023, soit six mois après le dépôt de la demande en mars 2023 (cf. art. 29 al. 1 LAI), de sorte que les dispositions légales applicables seront citées dans leur nouvelle teneur.</w:t>
      </w:r>
    </w:p>
    <w:p>
      <w:r>
        <w:t>A/1633/2025 - 10/16 -</w:t>
      </w:r>
    </w:p>
    <w:p>
      <w:r>
        <w:rPr>
          <w:b/>
        </w:rPr>
        <w:t>E. 3</w:t>
      </w:r>
    </w:p>
    <w:p>
      <w:r>
        <w:t>Le litige porte sur le droit du recourant à d’éventuelles prestations de l’assurance- invalidité, plus particulièrement sur la question de savoir si, depuis la décision initiale rendue en décembre 2019, son état de santé s’est aggravé au point de lui ouvrir droit à des prestations.</w:t>
      </w:r>
    </w:p>
    <w:p>
      <w:r>
        <w:rPr>
          <w:b/>
        </w:rPr>
        <w:t>E. 4.1</w:t>
      </w:r>
    </w:p>
    <w:p>
      <w:r>
        <w:t>Lorsque l’administration entre en matière sur une nouvelle demande, après avoir nié le droit à une prestation (cf. art. 87 al. 3 RAI), l’examen matériel doit être effectué de manière analogue à celui d'un cas de révision au sens de l'art. 17 al. 1 LPGA (ATF 141 V 585 consid. 5.3 et les références ; cf. arrêt du Tribunal fédéral 8C_12/2023 du 22 août 2023 consid. 3.2). Elle doit donc traiter l'affaire au fond et vérifier que la modification du degré d'invalidité rendue plausible par l'assuré est réellement intervenue (examen « allseitig »). Lorsque les faits déterminants pour le droit à la rente se sont modifiés, le degré d'invalidité doit ainsi être fixé à nouveau sur la base d'un état de fait établi de manière correcte et complète, sans référence à des évaluations antérieures de l'invalidité (ATF 141 V 9 consid. 6.1 et les références ; arrêt du Tribunal fédéral 9C_498/2023 du 11 décembre 2023 consid. 5.1 et les références).</w:t>
      </w:r>
    </w:p>
    <w:p>
      <w:r>
        <w:rPr>
          <w:b/>
        </w:rPr>
        <w:t>E. 4.2</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w:t>
      </w:r>
    </w:p>
    <w:p>
      <w:r>
        <w:rPr>
          <w:b/>
        </w:rPr>
        <w:t>E. 4.3</w:t>
      </w:r>
    </w:p>
    <w:p>
      <w:r>
        <w:t>A droit à une rente d’invalidité, l’assuré dont la capacité de gain ou la capacité d’accomplir ses travaux habituels ne peut pas être rétablie, maintenue ou améliorée par des mesures de réadaptation raisonnablement exigibles, qui a présenté une incapacité de travail (art. 6 LPGA) d’au moins 40% en moyenne durant une année sans interruption notable et qui, au terme de cette année, est invalide (art. 8 LPGA) à 40% au moins (art. 28 al. 1 LAI).</w:t>
      </w:r>
    </w:p>
    <w:p>
      <w:r>
        <w:rPr>
          <w:b/>
        </w:rPr>
        <w:t>E. 4.4</w:t>
      </w:r>
    </w:p>
    <w:p>
      <w:r>
        <w:t>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I 654/00 du</w:t>
      </w:r>
    </w:p>
    <w:p>
      <w:r>
        <w:rPr>
          <w:b/>
        </w:rPr>
        <w:t>E. 4.5</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(ATF 140 V 193 consid. 3.2 et les références ; 125 V 256 consid. 4 et les références). En outre, les données médicales constituent un élément utile pour déterminer quels travaux on peut encore, raisonnablement, exiger de l’assuré (ATF 125 V 256 consid. 4 et les références).</w:t>
      </w:r>
    </w:p>
    <w:p>
      <w:r>
        <w:rPr>
          <w:b/>
        </w:rPr>
        <w:t>E. 4.6</w:t>
      </w:r>
    </w:p>
    <w:p>
      <w:r>
        <w:t>Selon l’art. 54a LAI, les SMR établissent les capacités fonctionnelles de l’assuré qui sont déterminantes pour l’assurance-invalidité en vertu de l’art. 6 LPGA, pour l’exercice d’une activité lucrative raisonnablement exigible ou pour l’accomplissement des travaux habituels (al. 3).</w:t>
      </w:r>
    </w:p>
    <w:p>
      <w:r>
        <w:rPr>
          <w:b/>
        </w:rPr>
        <w:t>E. 4.7</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w:t>
      </w:r>
    </w:p>
    <w:p>
      <w:r>
        <w:rPr>
          <w:b/>
        </w:rPr>
        <w:t>E. 4.8</w:t>
      </w:r>
    </w:p>
    <w:p>
      <w:r>
        <w:t>Sans remettre en cause le principe de la libre appréciation des preuves, le Tribunal fédéral des assurances a posé des lignes directrices en ce qui concerne la manière d'apprécier certains types d'expertises ou de rapports médicaux.</w:t>
      </w:r>
    </w:p>
    <w:p>
      <w:r>
        <w:rPr>
          <w:b/>
        </w:rPr>
        <w:t>E. 4.8.1</w:t>
      </w:r>
    </w:p>
    <w:p>
      <w:r>
        <w:t>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w:t>
      </w:r>
    </w:p>
    <w:p>
      <w:r>
        <w:t>A/1633/2025 - 12/16 - expertise devra être ordonnée si des doutes, même faibles, subsistent quant à la fiabilité ou à la pertinence des constatations effectuées par le SMR (ATF 142 V 58 consid. 5 ; 135 V 465 consid. 4.4 et 4.6 ; arrêt du Tribunal fédéral 9C_371/2018 du 16 août 2018 consid. 4.3.1). Le médecin du SMR n'a pas l'obligation de procéder lui-même à un examen médical sur la personne de l'assuré (cf. art. 49 al. 2 RAI), mais peut, selon les circonstances, fonder son avis en évaluant les éléments médicaux au dossier. Cette appréciation en l'absence d'examen n'est pas dénuée d'emblée de toute valeur probante et est soumise aux mêmes exigences en matière de preuve que les autres rapports médicaux (ATF 136 V 376 consid. 4.1 ; arrêt du Tribunal fédéral 8C_160/2025 du 27 octobre 2025 consid. 5.2 et la référence).</w:t>
      </w:r>
    </w:p>
    <w:p>
      <w:r>
        <w:rPr>
          <w:b/>
        </w:rPr>
        <w:t>E. 4.8.2</w:t>
      </w:r>
    </w:p>
    <w:p>
      <w:r>
        <w:t>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137 V 210 consid. 1.3.4 ; 135 V 465 consid. 4.4. et les références ; 125 V 351 consid. 3b/bb).</w:t>
      </w:r>
    </w:p>
    <w:p>
      <w:r>
        <w:rPr>
          <w:b/>
        </w:rPr>
        <w:t>E. 4.8.3</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4.8.4</w:t>
      </w:r>
    </w:p>
    <w:p>
      <w:r>
        <w:t>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 15 p. 43), on ne saurait remettre en cause une expertise ordonnée par l'administration ou le juge et procéder à de nouvelles investigations du seul fait qu'un ou plusieurs médecins traitants ont une opinion distincte. Il n'en va différemment que si ces médecins traitants font état d'éléments objectivement</w:t>
      </w:r>
    </w:p>
    <w:p>
      <w:r>
        <w:t>A/1633/2025 - 13/16 - vérifiables ayant été ignorés dans le cadre de l'expertise et qui sont suffisamment pertinents pour remettre en cause les conclusions de l'expert (arrêt du Tribunal fédéral 8C_458/2023 du 18 décembre 2023 consid. 3.2 et la référence).</w:t>
      </w:r>
    </w:p>
    <w:p>
      <w:r>
        <w:rPr>
          <w:b/>
        </w:rPr>
        <w:t>E. 4.8.5</w:t>
      </w:r>
    </w:p>
    <w:p>
      <w:r>
        <w:t>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et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17 consid. 2b ; SVR 2006 IV n. 10 p. 39).</w:t>
      </w:r>
    </w:p>
    <w:p>
      <w:r>
        <w:rPr>
          <w:b/>
        </w:rPr>
        <w:t>E. 4.8.6</w:t>
      </w:r>
    </w:p>
    <w:p>
      <w:r>
        <w:t>En cas d'appréciation divergente entre les organes d'observation professionnelle et les données médicales, l'avis dûment motivé d'un médecin prime pour déterminer la capacité de travail raisonnablement exigible de l'assuré (arrêt du Tribunal fédéral I 531/04 du 11 juillet 2005 consid. 4.2). En effet, les données médicales permettent généralement une appréciation plus objective du cas et l'emportent, en principe, sur les constatations y compris d’ordre médical qui peuvent être faites à l'occasion d'un stage d'observation professionnelle, qui sont susceptibles d’être influencées par des éléments subjectifs liés au comportement de l'assuré pendant le stage (arrêt du Tribunal fédéral 9C_87/2022 du 8 juillet 2022 consid. 6.2.1 et les références). Au regard de la collaboration, étroite, réciproque et complémentaire selon la jurisprudence, entre les médecins et les organes d'observation professionnelle (cf. ATF 107 V 17 consid. 2b), on ne saurait toutefois dénier toute valeur aux renseignements d'ordre professionnel recueillis à l'occasion d'un stage pratique pour apprécier la capacité résiduelle de travail de l'assuré en cause. Au contraire, dans les cas où l'appréciation d'observation professionnelle diverge sensiblement de l'appréciation médicale, il incombe à l'administration, respectivement au juge – conformément au principe de la libre appréciation des preuves – de confronter les deux évaluations et, au besoin de requérir un complément d'instruction (arrêts du Tribunal fédéral 9C_1035/2009 du 22 juin 2010 consid. 4.1, in SVR 2011 IV n. 6 p. 17 ; 9C_833/2007 du 4 juillet 2008, in Plädoyer 2009/1 p. 70 ; I 35/03 du 24 octobre 2003 consid. 4.3 et les</w:t>
      </w:r>
    </w:p>
    <w:p>
      <w:r>
        <w:t>A/1633/2025 - 14/16 - références, in Plädoyer 2004/3 p. 64 ; 9C_512/2013 du 16 janvier 2014 consid. 5.2.1).</w:t>
      </w:r>
    </w:p>
    <w:p>
      <w:r>
        <w:rPr>
          <w:b/>
        </w:rPr>
        <w:t>E. 4.9</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 la vraisemblance prépondérante suppose que, d'un point de vue objectif, des motifs importants plaident pour l'exactitude d'une allégation, sans que d'autres possibilités revêtent une importance significative ou entrent raisonnablement en considération (ATF 144 V 427 consid. 3.2 ; 139 V 176 consid. 5.3 et les références). Aussi n’existe-t-il pas, en droit des assurances sociales, un principe selon lequel l’administration ou le juge devrait statuer, dans le doute, en faveur de l’assuré (ATF 135 V 39 consid. 6.1 et la référence). 5. En l’espèce, la décision litigieuse repose sur l’avis du SMR qui, après examen des différents rapports et de l’expertise recueillis lors de l’instruction de la nouvelle demande, a conclu à une aggravation temporaire de l’état de santé de l’assuré, limitée à la période du 21 avril au 30 septembre 2023, liée à la problématique de l’épaule droite. Le recourant, lui, conteste pouvoir exercer une activité adaptée à plus de 50% et invoque à l’appui de sa position l’avis de son médecin traitant, d’une part, les conclusions émises à l’issue de deux stages professionnels, d’autre part. Cela étant, sur le plan médical, il apparaît qu’objectivement, seules deux nouvelles atteintes sont survenues depuis qu’a été rendue la décision initiale, en décembre 2019 : l’une touchant la prostate – dont le médecin spécialisé a indiqué clairement qu’elle était sans répercussion sur la capacité de travail –, l’autre touchant l’épaule droite, sous la forme d’une capsulite rétractile, temporaire, dont l’expert orthopédique n’a plus retrouvé trace lors de son examen. L’expert orthopédique a finalement retenu des limitations fonctionnelles sensiblement analogues à celles mises en évidence lors de l’instruction de la première demande de prestations. Il a conclu, lui aussi, à une pleine capacité de travail dans une activité adaptée, sédentaire, permettant les changements de position, limitant le port de charges de plus de 5 kg et permettant d’éviter le travail en hauteur. Qui plus est, le rhumatologue consulté par le recourant a conclu pour sa part à l’absence d’atteinte rhumatismale et de limitation fonctionnelle supplémentaire sur le plan rhumatologique. Il a diagnostiqué un syndrome douloureux chronique non spécifique et non invalidant. Force est dès lors de constater que la situation médicale est restée sensiblement la même qu’à l’issue de l’instruction menée à la suite de la première demande de prestations, hormis une période d’aggravation temporaire.</w:t>
      </w:r>
    </w:p>
    <w:p>
      <w:r>
        <w:t>A/1633/2025 - 15/16 - L’estimation de la capacité résiduelle de travail par le médecin traitant ne convainc pas, dans la mesure où elle n’est pas motivée et où ce médecin concluait déjà, lors de la première instruction, à une capacité résiduelle de travail de 50%. Quant aux rapports de stage produits par le recourant, ils ne permettent pas de s’écarter des conclusions de l’expert, qui doivent l’emporter, selon la jurisprudence rappelée supra. Qui plus est, les limitations fonctionnelles physiques relatées dans lesdits rapports (impossibilité de porter des objets lourds, de conserver une position statique et d’accomplir certains mouvements) ont été prises en compte tant par l’expert que par le SMR. Quant aux limitations induites par les lacunes du recourant en matière informatique et linguistique, elles ne relèvent pas de l’assurance-invalidité. C’est dès lors à juste titre que l’intimé s’est rallié aux conclusions de l’expert et du SMR. On ajoutera encore qu’un abattement de 20% sur le revenu d’invalide ne se justifie pas, dès lors que les limitations fonctionnelles restent légères. Quant à l’absence de formation de l’assuré, comme déjà indiqué, elle ne relève pas de l’assurance-invalidité. Eu égard à ce qui précède, le recours, infondé, est rejeté.</w:t>
      </w:r>
    </w:p>
    <w:p>
      <w:r>
        <w:t>***</w:t>
      </w:r>
    </w:p>
    <w:p>
      <w:r>
        <w:t>A/1633/2025 - 16/16 - PAR CES MOTIFS, LA CHAMBRE DES ASSURANCES SOCIALES : Statuant À la forme :</w:t>
      </w:r>
    </w:p>
    <w:p>
      <w:r>
        <w:rPr>
          <w:b/>
        </w:rPr>
        <w:t>E. 9</w:t>
      </w:r>
    </w:p>
    <w:p>
      <w:r>
        <w:t>avril 2001 consid. 1).</w:t>
      </w:r>
    </w:p>
    <w:p>
      <w:r>
        <w:t>A/1633/2025 - 11/16 -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