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ATAS/269/2021 vom 29. März 2021</w:t>
      </w:r>
    </w:p>
    <w:p>
      <w:r>
        <w:t>GE Cour de justice, 2021-03-29, FR</w:t>
      </w:r>
    </w:p>
    <w:p>
      <w:r>
        <w:rPr>
          <w:b/>
        </w:rPr>
        <w:t xml:space="preserve">Quelle: </w:t>
      </w:r>
      <w:r>
        <w:t>https://mcp.opencaselaw.ch/entscheid/ge_gerichte_ATAS_269_2021</w:t>
      </w:r>
    </w:p>
    <w:p>
      <w:r>
        <w:t>FR: GE_GERICHTE ATAS/269/2021 du 29 mars 2021</w:t>
      </w:r>
    </w:p>
    <w:p>
      <w:r>
        <w:t>IT: GE_GERICHTE ATAS/269/2021 del 29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a. En vertu des art. 37 al. 1 LPGA et 9 de la de loi sur la procédure administrative du 12 septembre 1985 (LPA - E 5 10), une partie peut, en tout temps, se faire représenter, à moins qu'elle ne doive agir personnellement, ou se faire assister, pour autant que l'urgence d'une enquête ne l'exclue pas. Tant que la partie ne révoque pas la procuration, l'assureur adresse ses communications au mandataire (art. 37 al. 3 LPGA). Il en va notamment ainsi des décisions (art. 49 LPGA) et décisions sur opposition (art. 52 al. 2 LPGA). La violation, par l'assureur social, de l'art. 37 al. 3 LPGA n'a pas pour effet de rendre sa communication nulle et non avenue. En revanche, l'assuré peut de bonne foi admettre que son représentant a également reçu l'envoi de l'assureur, de sorte qu'il ne peut subir aucun préjudice lorsque celui-ci avait pour effet de faire courir un délai. Ainsi, la notification d'une décision à l'assuré directement, et non à son représentant, empêche l'écoulement du délai de recours, seule la notification au représentant étant déterminante à cet égard (arrêt du Tribunal fédéral 9C_18/2016 du 7 octobre 2016 consid. 5.3.1).</w:t>
      </w:r>
    </w:p>
    <w:p>
      <w:r>
        <w:t>A/3761/2019 - 17/28 - Il s'agit là d'un principe général du droit des assurances sociales, commandé par la sécurité du droit, qui sert à éviter d'emblée tout doute sur la question de savoir si les communications doivent être notifiées à la partie elle-même ou à son représentant ainsi qu'à établir une règle claire quant à la notification déterminante pour le calcul du délai de recours (ATF 99 V 177 consid. 3 ; DTA 2002 n°9 p. 66 consid. 2 ; RAMA 1997 n° U 288, p. 442 consid. 2b ; arrêt du Tribunal fédéral 9C_791/2010 du 10 novembre 2010 consid. 2.2).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et les références). b.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Ce même principe est repris en droit cantonal à l'art. 47 LPA. Le délai de recours est de trente jours (art. 60 al. 1 LPGA). Si le délai, compté par jours ou par mois, doit être communiqué aux parties, il commence à courir le lendemain de la communication (art. 38 al. 1 LPGA). c. En l'espèce, l'intimé a adressé sa décision du 17 mai 2019 directement au recourant, omettant ainsi de tenir compte de l'élection de domicile faite en faveur de son avocate. Conformément à la jurisprudence précitée, la notification d'une décision directement à l'assuré, en lieu et place de son représentant, empêche l'écoulement du délai de recours. Partant, en saisissant la chambre de céans par acte du 4 octobre 2019, soit dans les 30 jours à compter de la réception de la décision qui lui a été envoyée le 3 septembre 2019, le recours a été formé en temps utile, ce qui n’est au demeurant pas contesté par l’intimé. Interjeté dans la forme et le délai prévus par la loi, le recours est recevable.</w:t>
      </w:r>
    </w:p>
    <w:p>
      <w:r>
        <w:rPr>
          <w:b/>
        </w:rPr>
        <w:t>E. 5</w:t>
      </w:r>
    </w:p>
    <w:p>
      <w:r>
        <w:t>Le litige porte sur le droit du recourant à une rente d’invalidité au-delà du 30 juin 2017, subsidiairement sur le droit à des mesures d’ordre professionnel.</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w:t>
      </w:r>
    </w:p>
    <w:p>
      <w:r>
        <w:t>A/3761/2019 - 18/28 -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A/3761/2019 - 19/28 -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A/3761/2019 - 20/28 -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t>A/3761/2019 - 21/28 -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w:t>
      </w:r>
    </w:p>
    <w:p>
      <w:r>
        <w:t>A/3761/2019 - 22/28 -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13</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14</w:t>
      </w:r>
    </w:p>
    <w:p>
      <w:r>
        <w:t>a. En l'espèce, dans sa décision litigieuse du 17 mai 2019, l’intimé a retenu que le recourant présentait une incapacité totale de travail dès le mois d’avril 2014, ce qui lui ouvrait le droit à une rente entière d'invalidité à l'issue du délai d’attente d'un an, soit dès le 1er avril 2015. Toutefois, dès le 7 mars 2017, l’intéressé disposait d’une pleine capacité de travail dans une activité adaptée à son état de santé, avec une diminution de rendement de 20%, ce qui entraînait la suppression de sa rente avec effet au 1er juillet 2017, trois mois après l'amélioration de son état de santé. Cette appréciation est fondée sur le rapport d’examen clinique rhumatologique du Dr T______ du 19 novembre 2018. b. Le recourant s’oppose à la suppression de sa rente au 30 juin 2017 et conteste toute amélioration de son état de santé. À cet égard, il rappelle notamment qu’il a dû se soumettre à une nouvelle intervention chirurgicale.</w:t>
      </w:r>
    </w:p>
    <w:p>
      <w:r>
        <w:rPr>
          <w:b/>
        </w:rPr>
        <w:t>E. 15</w:t>
      </w:r>
    </w:p>
    <w:p>
      <w:r>
        <w:t>Il convient donc d’examiner si le rapport du Dr T______ permet de retenir, au degré de la vraisemblance prépondérante requis, que les circonstances se sont</w:t>
      </w:r>
    </w:p>
    <w:p>
      <w:r>
        <w:t>A/3761/2019 - 23/28 - effectivement modifiées à compter du mois de mars 2017, de sorte à entraîner la suppression de la rente d'invalidité dès le 1er juillet 2017.</w:t>
      </w:r>
    </w:p>
    <w:p>
      <w:r>
        <w:rPr>
          <w:b/>
        </w:rPr>
        <w:t>E. 16</w:t>
      </w:r>
    </w:p>
    <w:p>
      <w:r>
        <w:t>La chambre de céans constate d’emblée que si le rapport du Dr T______ semble, de prime abord, remplir les exigences formelles en matière de valeur probante, il se révèle toutefois imprécis, insuffisamment motivé et confus sur les points essentiels.</w:t>
      </w:r>
    </w:p>
    <w:p>
      <w:r>
        <w:rPr>
          <w:b/>
        </w:rPr>
        <w:t>E. 17</w:t>
      </w:r>
    </w:p>
    <w:p>
      <w:r>
        <w:t>a. Ainsi, en ce qui concerne les atteintes à la santé ayant des répercussions durables sur la capacité de travail, le Dr T______ a diagnostiqué, à titre principal, une arthrose de la cheville gauche dans le cadre d’un status après des ostéochondrites et une arthroscopie de la cheville gauche. Il a également mentionné, à titre de diagnostics associés, des troubles statiques des pieds avec un discret hallux valgus bilatéral à prédominance gauche, ainsi que des douleurs et limitations fonctionnelles de l’épaule droite dans le cadre d’un status après une opération selon Latarjet et une instabilité de l’épaule gauche avec des luxations spontanées récidivantes. b. Au niveau du membre inférieur gauche, la chambre de céans observe en premier lieu que le médecin du SMR ne s’est pas du tout prononcé sur le degré de gravité de l’arthrose. Son diagnostic apparait pour le moins approximatif au vu des résultats des nombreuses investigations réalisées pour observer l’évolution des lésions. Pour rappel, il ressort des pièces produites que la première IRM a mis en évidence une lésion ostéochondrale du dôme talien avec une macrogéode et une rétraction œdémateuse (cf. rapport du Dr E______ du 17 décembre 2012). Le recourant a été opéré en avril 2014 (cf. compte-rendu opératoire du Dr G______ du 17 avril 2014), mais les douleurs et limitations ont persisté. Une IRM réalisée en octobre 2015 a montré une lésion ostéochondrale du dôme talien de caractère actif et probablement instable (cf. rapport du Dr K______ du 12 octobre 2015). Trois mois plus tard, une nouvelle IRM a mis en exergue une lésion ostéo-cartilagineuse au niveau du dôme talien avec une composante kystique et révélé que la lésion ostéochondrale du coin supéro-médial du talus qui avait été opérée était à nouveau présente, discrètement plus petite qu’en 2013 (cf. rapport de la Dresse M______ du 29 janvier 2016). Le Dr F______ a signalé une aggravation de l’état de la cheville avec une péjoration des lésions osseuses, évoquant la nécessité d’une reprise opératoire (cf. rapport du 16 février 2016). Suite à une consultation spécialisée du pied et de la cheville aux HUG, il a été relevé que la dernière IRM confirmait la présence d’une lésion ostéochondrale et permettait également d’observer une autre lésion adjacente. Des examens complémentaires ont alors été prescrits afin de confirmer l’activité des lésions ostéochondrales et cibler le traitement chirurgical éventuel (cf. rapport du Dr N______ du 2 juin 2016). Lors de la scintigraphie avec Spect-CT effectuée le 20 mai 2016, ont été observées une lésion kystique sous- chondrale du versant postéro-interne du dôme talien, sans défect cortical, avec une importante sclérose mesurant 6 x 6 mm, une deuxième lésion sous-chondrale, plus médiane, avec un défect cortical, mesurant 5.3 mm, une micro-anomalie kystique sous-chondrale du dôme talien, et une très discrète sclérose sous-chondrale de la</w:t>
      </w:r>
    </w:p>
    <w:p>
      <w:r>
        <w:t>A/3761/2019 - 24/28 - berge tibiale ; il n’y avait pas de modification arthrosique morphologique significative (cf. rapport de la Dresse O______ du 23 mai 2016). La dernière IRM a permis de conclure à la stabilité de l’étendue et de la profondeur de l’irrégularité corticale du dôme talien et de l’épaisseur de son revêtement cartilagineux, mais à l’apparition d’un troisième kyste sous chondral depuis 2016 (cf. rapport du Dr Q______ du 21 septembre 2018). Le Cone beam CT de la cheville a révélé une sclérose et des géodes du dôme médial du talus atteignant environ un tiers de la surface articulaire et des zones de defect cartilagineux de grade IV, ainsi que des signes de synovite réactionnelle (cf. rapport du Dr S______ du 25 septembre 2018). La chambre de céans relèvera ensuite que le Dr T______ ne s’est pas déterminé en pleine connaissance de la situation actuelle puisqu’il a indiqué que les orthopédistes des HUG « parlaient de la possibilité d’une nouvelle opération », mais ne savaient « pas encore laquelle proposer » (cf. rapport p. 12). Or, lors de la consultation du 6 mai 2016, le Dr N______ a clairement exposé les propositions de traitement, ajoutant que le point de la situation et la prise en charge seraient discutés après le Spect-CT (cf. rapport du 2 juin 2016). Cet examen a été réalisé le 20 mai 2016 (cf. rapport de la Dresse O______ du 23 mai 2016), mais le dossier de la cause ne comprend pas de nouveau rapport de la Consultation du pied et de la cheville des HUG. Il est surprenant que le médecin du SMR n’ait pas pris contact avec ce service pour savoir quelle suite avait alors été décidée et obtenir des informations récentes et actualisées. S’il l’avait fait, il aurait probablement appris qu’une nouvelle intervention était prévue puisque le recourant a été convoqué pour une opération quelques mois seulement après la reddition du rapport du SMR (cf. courrier du recourant du 15 avril 2019). c. Au niveau des membres supérieurs, le Dr T______ ne semble pas avoir été en possession du rapport de la Dresse M______ du 15 mai 2018 relatif à une échographie des deux épaules. Il n’a en effet ni résumé ce document, ni mentionné les pathologies observées, à savoir une lésion des tendons supra-épineux des deux côtés, non transfixiante à droite et transfixiante à gauche. Que la radiologue ait considéré que l’image échographique était en discordance par rapport à la clinique présentée par le patient est sans pertinence. Il appartenait à l’examinateur de poser des diagnostics complets et précis concernant les atteintes à la santé ayant une influence sur la capacité de travail de l’intéressé.</w:t>
      </w:r>
    </w:p>
    <w:p>
      <w:r>
        <w:rPr>
          <w:b/>
        </w:rPr>
        <w:t>E. 18</w:t>
      </w:r>
    </w:p>
    <w:p>
      <w:r>
        <w:t>a. S’agissant des limitations fonctionnelles et de la capacité de travail, le médecin du SMR a retenu que les troubles de la cheville et du pied empêchaient les activités nécessitant de marcher plus de 5 minutes, rester debout plus de 30 minutes, marcher en terrain irrégulier, fléchir les genoux de façon répétée, travailler en hauteur, franchir des escabeaux ou des échelles et régulièrement des escaliers. En outre, les atteintes au niveau des membres supérieurs ne permettaient pas au recourant</w:t>
      </w:r>
    </w:p>
    <w:p>
      <w:r>
        <w:t>A/3761/2019 - 25/28 - d’effectuer des mouvements d’élévation ou d’abduction des épaules à plus de 70°, ni de lever des charges de plus de 5 kg par membre. Il a conclu à une capacité de travail exigible de 0% dans l’activité habituelle d’apprenti peintre en bâtiment et de 80% dans une acticité adaptée depuis le 7 mars 2017 (cf. rapport p. 13). b. La chambre de céans souligne une confusion manifeste entre le taux de la capacité de travail exigible et la diminution de rendement. En effet, le Dr T______ a expliqué qu’il n’y avait aucune raison biomécanique pour attester d’une « incapacité » de travail de plus de 20%, mais que ce taux était retenu au vu des limitations fonctionnelles qui se surajoutaient et qui conduisaient « fatalement à une baisse de rendement » (cf. rapport p. 11). Il a considéré que l’incapacité de travail était totale, depuis le mois de juin 2013 en tout cas, dans l’activité d’apprenti peintre en bâtiment, mais que dans une activité respectant les restrictions précitées, la capacité de travail était de 80% dès 6 mois après l’intervention de l’épaule droite, soit depuis le 7 mars 2017 (cf. rapport p. 12). Il a conclu son rapport en notant, en gras et en majuscule, que la capacité de travail exigible était de 0% dans l’activité habituelle et de 80% dans une acticité adaptée depuis le 7 mars 2017 (cf. rapport p. 13). L’intimé ne pouvait que constater cette contradiction puisqu’il a choisi de s’écarter des conclusions du rapport pour retenir une capacité de travail de 100%, avec une diminution de rendement de 20%. c. En outre, dès lors que l’examinateur a estimé que l’incapacité de travail était totale dans toute activité jusqu’au 7 mars 2017, il lui revenait de mettre en évidence les éléments concrets d'un changement de l'état de santé du recourant survenu à cette date. Or, l’amélioration de la capacité de travail retenue suite à l’opération de l’épaule droite le 7 septembre 2016 n’a fait l’objet d’aucune argumentation médicale. Elle apparaît pour le moins critiquable, étant rappelé que le diagnostic « principal » retenu est celui d’arthrose de la cheville gauche, trouble qui engendre les restrictions les plus importantes puisque cette atteinte ne permet, en définitive, qu’un travail en position assise, avec de très courtes stations debout. Si le recourant était en totale incapacité de travail depuis 2013 principalement en raison de ses atteintes à la cheville et au pied gauche, on perçoit mal les motifs permettant de retenir une notable amélioration de sa capacité de travail à six mois de l’intervention de l’épaule droite, ce d’autant plus que les troubles présentés au niveau du pied et de la cheville gauche, lesquels sont les plus incapacitants, se sont continuellement aggravés depuis l’opération de 2014, au point de justifier une nouvelle intervention chirurgicale en 2019. Qui plus est, les limitations fonctionnelles retenues au niveau des membres supérieurs sont identiques pour l’épaule droite, stable depuis l'intervention mais douloureuse et moins mobile, que pour l’épaule gauche, instable avec plusieurs</w:t>
      </w:r>
    </w:p>
    <w:p>
      <w:r>
        <w:t>A/3761/2019 - 26/28 - luxations spontanées. Il est donc surprenant, en présence de restrictions identiques, que le Dr T______ ait pu conclure à une amélioration de la capacité de travail exigible suite à l’opération de 2016 qui n’a concerné que le membre supérieur droit. d. Enfin, on remarquera encore que l’avis du Dr T______ quant à l’amélioration de la capacité de travail à six mois de l’intervention de l’épaule est en contradiction avec le rapport du Dr J______, lequel a suivi le recourant à l’époque litigieuse et clairement attesté d’une totale incapacité de travail, à tout le moins jusqu’au 6 décembre 2017 (cf. rapport du 23 mars 2018). Il incombait donc à l’expert de motiver les raisons pour lesquelles il s’éloignait de l’appréciation du médecin consulté par le recourant au moment des faits déterminants.</w:t>
      </w:r>
    </w:p>
    <w:p>
      <w:r>
        <w:rPr>
          <w:b/>
        </w:rPr>
        <w:t>E. 19</w:t>
      </w:r>
    </w:p>
    <w:p>
      <w:r>
        <w:t>Enfin, à toutes fins utiles, la chambre de céans remarquera que le rapport du Dr T______ est discutable sur de nombreux autres points. À titre d’exemples, ce médecin a mentionné une consommation habituelle de substances psychoactives sans évoquer de diagnostics en la matière. Il n’a en outre pas mentionné les effets secondaires du traitement médicamenteux, étant rappelé que le Dr I______ a fait état de somnolence due à la prise de Gabapentine (cf. rapport du 10 juillet 2018) et que le recourant a rapporté que l’Irfen lui « brouille les idées » (cf. rapport p. 6). Le Dr T______ a retenu une « bonne intégration sociale » (cf. rapport p. 11), car l’intéressé « va régulièrement manger chez sa grand-mère, chez des amis ou mange des choses toutes prêtes à la Coop. Il fait également, malgré ses douleurs, de la musique avec des amis. Il prend également les transports publics sans problèmes » et a été « capable de partir, il y a deux ans, au Cap-Vert, en avion » (cf. rapport p. 11). En l’absence de toute précision quant à la nature et la fréquence des liens sociaux que l’intéressé entretient et de ses « loisirs », l’appréciation du médecin est peu compréhensible. En effet, le recourant est sans domicile fixe depuis 2016 et hébergé « ici ou là » par des amis (rapport p. 6 et 7). Il n’a pas été en mesure d’achever sa formation et est sans activité depuis 2013. Son seul lien familial semble être celui qui l’unit à sa grand-mère (cf. rapport p. 6 et 7). Qu’il prenne les transports publics semble inévitable au vu de ses limitations fonctionnelles, du fait qu’il n’a pas le permis de conduire (cf. rapport p. 7) et qu’il est contraint de changer régulièrement d’hébergement.</w:t>
      </w:r>
    </w:p>
    <w:p>
      <w:r>
        <w:rPr>
          <w:b/>
        </w:rPr>
        <w:t>E. 20</w:t>
      </w:r>
    </w:p>
    <w:p>
      <w:r>
        <w:t>Partant, la chambre de céans est d’avis que le rapport d’examen clinique rhumatologique du Dr T______ ne répond pas aux réquisits jurisprudentiels pour se voir attribuer une pleine valeur probante. L’intimé ne pouvait donc pas, sur la base de ce document, conclure que l'état de santé du recourant s'était amélioré dès le mois de mars 2017 et que l’intéressé disposait d’une capacité de travail de 100%, avec une diminution de rendement de 20%, dès le 7 mars 2017.</w:t>
      </w:r>
    </w:p>
    <w:p>
      <w:r>
        <w:t>A/3761/2019 - 27/28 - Par conséquent, il n’était pas fondé à supprimer au 30 juin 2017 la rente accordée au recourant avec effet rétroactif au 1er avril 2015.</w:t>
      </w:r>
    </w:p>
    <w:p>
      <w:r>
        <w:rPr>
          <w:b/>
        </w:rPr>
        <w:t>E. 21</w:t>
      </w:r>
    </w:p>
    <w:p>
      <w:r>
        <w:t>Il convient par conséquent de renvoyer la cause à l’intimé pour qu'il procède à une instruction complémentaire, sous la forme d'une expertise indépendante. Un renvoi se justifie d’autant plus que l'état de santé du recourant n’était pas stabilisé au moment de l’examen final du SMR et qu’une nouvelle intervention a été décidée avant que l’intimé rende sa décision. En outre, l’état de santé du recourant a justifié une opération le 7 octobre 2019 et une arthrodèse est désormais envisagée (cf. rapport du Dr N______ du 10 juin 2020).</w:t>
      </w:r>
    </w:p>
    <w:p>
      <w:r>
        <w:rPr>
          <w:b/>
        </w:rPr>
        <w:t>E. 22</w:t>
      </w:r>
    </w:p>
    <w:p>
      <w:r>
        <w:t>À l'issue de cette instruction, l'intimé rendra, dans les meilleurs délais, une nouvelle décision quant aux droits du recourant à une rente d'invalidité à partir du 1er juillet 2017, étant rappelé que le droit à une rente entière a été reconnu par l'intimé jusqu'au 30 juin 2017.</w:t>
      </w:r>
    </w:p>
    <w:p>
      <w:r>
        <w:rPr>
          <w:b/>
        </w:rPr>
        <w:t>E. 23</w:t>
      </w:r>
    </w:p>
    <w:p>
      <w:r>
        <w:t>Au vu de ce qui précède, le recours est admis partiellement, la décision du 17 mai 2019 annulée en tant qu'elle supprime le droit du recourant à une rente d'invalidité dès le 1er juillet 2017 et confirmée pour le surplus. La cause est renvoyée à l'intimé pour instruction complémentaire et nouvelle décision dans le sens des considérants s'agissant de la période courant dès le mois de juillet 2017.</w:t>
      </w:r>
    </w:p>
    <w:p>
      <w:r>
        <w:rPr>
          <w:b/>
        </w:rPr>
        <w:t>E. 24</w:t>
      </w:r>
    </w:p>
    <w:p>
      <w:r>
        <w:t>Le recourant, représenté par une avocate et obtenant partiellement gain de cause, une indemnité de CHF 2'500.- lui sera accordée à titre de participation à ses frais et dépens (art. 61 let. g LPGA ; art. 89 H LPA ; art. 6 du règlement sur les frais, émoluments et indemnités en matière administrative du 30 juillet 1986 [RFPA - E 5 10.03]). Au vu du sort du recours, il y a lieu de condamner l'intimé au paiement d'un émolument de CHF 200.- (art. 69 al. 1bis LAI).</w:t>
      </w:r>
    </w:p>
    <w:p>
      <w:r>
        <w:t>A/3761/2019 - 28/28 -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