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ATAS/269/2015 vom 13. April 2015</w:t>
      </w:r>
    </w:p>
    <w:p>
      <w:r>
        <w:t>GE Cour de justice, 2015-04-13, FR</w:t>
      </w:r>
    </w:p>
    <w:p>
      <w:r>
        <w:rPr>
          <w:b/>
        </w:rPr>
        <w:t xml:space="preserve">Quelle: </w:t>
      </w:r>
      <w:r>
        <w:t>https://mcp.opencaselaw.ch/entscheid/ge_gerichte_ATAS_269_2015</w:t>
      </w:r>
    </w:p>
    <w:p>
      <w:r>
        <w:t>FR: GE_GERICHTE ATAS/269/2015 du 13 avril 2015</w:t>
      </w:r>
    </w:p>
    <w:p>
      <w:r>
        <w:t>IT: GE_GERICHTE ATAS/269/2015 del 13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du recourant à une rente d'invalidité, et plus particulièrement à une rente entière au-delà du 30 septembre 2013.</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4.1</w:t>
      </w:r>
    </w:p>
    <w:p>
      <w:r>
        <w:t>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w:t>
      </w:r>
    </w:p>
    <w:p>
      <w:r>
        <w:t>A/186/2015 - 21/27 -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A/186/2015 - 15/27 -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w:t>
      </w:r>
    </w:p>
    <w:p>
      <w:r>
        <w:t>A/186/2015 - 16/27 -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w:t>
      </w:r>
    </w:p>
    <w:p>
      <w:r>
        <w:t>A/186/2015 - 17/27 -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w:t>
      </w:r>
    </w:p>
    <w:p>
      <w:r>
        <w:t>A/186/2015 - 18/27 -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w:t>
      </w:r>
    </w:p>
    <w:p>
      <w:r>
        <w:t>A/186/2015 - 19/27 -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 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w:t>
      </w:r>
    </w:p>
    <w:p>
      <w:r>
        <w:t>A/186/2015 - 20/27 -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10</w:t>
      </w:r>
    </w:p>
    <w:p>
      <w:r>
        <w:t>Dans le cas d'espèce, le recourant fait tout d'abord grief à l'intimé d'avoir, pour évaluer l'état de santé du recourant, et partant pour en déduire sa capacité de gain, volontairement écarté plusieurs avis médicaux concordants, d'une part, et les conclusions du rapport de l'ORIF, d'autre part, pour se fonder exclusivement sur de brefs rapports du SMR. a) Au vu des principes rappelés ci-dessus, il y a tout d'abord lieu d'observer que n'est pas litigieuse la période s'étendant du 1er février 2012 au 30 juin 2013, pour laquelle l'intimé a reconnu au recourant une invalidité totale, et le droit à une rente entière au 30 septembre 2013, compte tenu du fait que pendant cette période il était atteint dans sa santé, non seulement par rapport à ses problèmes rhumatologiques, mais également en raison de son affection oncologique, laquelle se trouve fort heureusement en rémission depuis fin juin 2013. Le recourant n'a pas remis en cause le fait que l'intimé ait considéré que dès moment-là, l'affection oncologique n'avait plus d'incidence sur sa capacité de travail. Seule entre donc en considération l'appréciation de l'atteinte à la santé pour les autres diagnostics, soit ceux qui ont conduit à l'incapacité de travail dès le début novembre 2009, respectivement dès fin août 2010, soit avant que ne survienne l'aggravation de l'état de santé en raison du cancer ORL, et après la rémission de ce dernier. Les avis médicaux entrant dès lors en considération sont ceux qui traitent des affections relatives aux douleurs du dos. Dans ce contexte, la chambre de céans retient, dans la chronologie du dossier, deux périodes: celle qui a précédé l'expertise confiée par l'assureur à un expert neutre, le Dr J______, et celle qui a suivi l'expertise. b) Pour la première période, le Dr C______, qui avait examiné le patient les 1er et 8 mars 2010 à la demande du médecin traitant, avait posé le diagnostic de</w:t>
      </w:r>
    </w:p>
    <w:p>
      <w:r>
        <w:t>A/186/2015 - 22/27 - lombalgies chroniques sur canal étroit dégénératif. Il indiquait alors que la situation semblait s'être stabilisée avec un retour à l'état chronique connu avant le blocage (2 novembre 2009).En décembre 2010, les symptômes actuels étaient des lombalgies avec contractions musculaires. Au début janvier 2011 le Dr D______ avait posé, les diagnostics de lombalgies chroniques avec spondylarthrose et canal lombaire étroit (depuis 2005), ainsi que des cervicobrachialgies gauches, et syndrome du défilé thoracique gauche (depuis 2010). Il retenait que l'activité exercée était encore exigible, à 50 %, mais dans une activité adaptée, avec un rendement réduit en raison de ses douleurs lombaires, limitant sa vitesse d'exécution du travail en cuisine. Il envisageait un essai de reprise à 50 %, se posant la question d'une réadaptation au sein de l'entreprise, et indiquait le port d'une ceinture lombaire de soutien. Le Dr C______, le 20 mai 2011, rappelait que le patient était en arrêt de travail depuis plus d'une année et avait bénéficié de nombreuses séances de physiothérapie. Les neurochirurgiens consultés n'avaient pas posé une indication opératoire. Plus récemment, il avait bénéficié d'une consultation neurologique pour cervicobrachialgies, l'examen n'étant par ailleurs pas conclusif. L'IRM cervicale n'était pas relevante. Au status actuel ce médecin relevait un patient algique avec contractions musculaires diffuses et hypomobilité rachidienne. Le status neurologique est non déficitaire. Selon lui ce patient était entré dans une chronicité dont il serait difficile de sortir. A mi-juin 2011, le Dr D______ confirmait les diagnostics précédents et indiquait que l'état de santé de son patient était resté stationnaire. À fin novembre 2011, dans la perspective de l'expertise du Dr F______, il avait pris contact avec ce dernier, et actualisé la situation du patient. Une IRM lombaire avait été pratiquée à fin septembre 2011 afin d'examiner l'évolution des atteintes, par rapport à la situation a fin décembre 2009. Les données IRM lombaires parlaient en faveur d'une évolution favorable par rapport au comparatif du 23 décembre 2009, avec une résorption de la hernie discale L4-L5 précédemment décrite. Le reste de l'examen était sans changement significatif. c) Le Dr F______ a rendu son rapport d'expertise le 15 décembre 2011. Il a fondé ses conclusions sur l'analyse du dossier AI, ainsi que sur le courrier du médecin traitant, daté du 20 novembre 2011, de même que sur le rapport d'interprétation de l'IRM lombaire du 28 septembre 2011, sur ses propres constatations cliniques du 13 décembre 2011 et sur l'analyse du dossier radiologique de l'assuré. L'expert a procédé à une anamnèse détaillée, comprenant l'histoire socio- professionnelle de l'assuré, ses antécédents de santé : il a pris en compte l'intégralité des documents médicaux à disposition, qu'il a inventoriés et décrits. Il a recueilli les plaintes et données subjectives de l'assuré, et procédé au status clinique détaillé, et étudié le dossier médical. Il a posé les diagnostics suivants : - avec répercussion sur la capacité de travail : lombalgies chroniques avec pseudo- sciatalgies gauches intermittentes : rétrécissement canalaire lombaire étagé de L3 à</w:t>
      </w:r>
    </w:p>
    <w:p>
      <w:r>
        <w:t>A/186/2015 - 23/27 - L5 ; protrusion discale L4-L5 droite. Cervicalgies intermittentes actuellement en rémission. - sans répercussion sur la capacité de travail : tabagisme chronique ; status après fracture de la clavicule gauche et brûlures cutanées du thorax à gauche et du bras gauche en 1974. Après avoir pris en compte les différences éléments médicaux versés au dossier, il a répondu à toutes les questions posées : - s'agissant des influences sur la capacité travail, il a retenu les limitations suivantes : limitation dans la capacité de porter et soulever des charges supérieures à 5 kg, nécessité d'alterner les positions debout et assis toutes les 20 minutes, pas d'activités réalisées en porte-à-faux, pas d'efforts de marche prolongée. Il n'y a apparemment pas de limitations d'un point de vue psychique, sous réserve de l'incompétence de l'expert dans le domaine de la psychiatrie. Les troubles dont souffre l'assuré ont eu pour conséquence qu'il n'a plus été en mesure de poursuivre son activité de jardinier et d'aide de cuisine depuis août 2010 ; il avait été mis au bénéfice d'un arrêt de travail à 100 % depuis novembre 2009, puis à 50 % d'avril 2010 à août 2010, et de nouveau à 100 % depuis août 2010. S'agissant de sa capacité résiduelle de travail dans son activité habituelle d'aide de cuisine et de jardinier, elle est nulle, compte tenu des limitations fonctionnelles décrites et selon le cahier des charges remis par l'employeur. L'activité exercée jusqu'ici n'est donc plus exigible. Il y a une baisse de rendement, laquelle a déjà été intégrée dans l'estimation de la capacité de travail. Du point de vue médical il y a une incapacité de travail de 20 % au moins depuis le 2 novembre 2009 (100 %) puis d'avril 2010 à août 2010 (50 %) puis à nouveau à 100 %. Le degré d'incapacité de travail est resté inchangé en dépit des divers traitements qui lui ont été prodigués. Il a considéré que sa capacité résiduelle de travail était nulle dans son activité habituelle d'aide de cuisine et de jardinier, compte tenu des limitations fonctionnelles décrites et selon le cahier des charges remis par l'employeur. Cette activité n'était plus exigible. S'agissant des possibilités de réadaptation professionnelle, l'expert a considéré que de telles mesures étaient envisageables, dès à présent. Concernant l'amélioration de la capacité de travail au poste occupé jusqu'alors, l'expert considérait qu'apparemment aucune mesure médicale ni moyen auxiliaire ou même une adaptation du poste de travail ne pourrait permettre d'améliorer sa capacité de travail au poste de travail habituel compte tenu du cahier des charges inhérentes à cette activité, principalement en cuisine, nécessitant des ports, des soulèvements de charges et du positionnement statique prolongé. L'expert a enfin indiqué qu'était exigible toute autre activité qui respecterait les limitations fonctionnelles décrites, et pourrait être réalisée à un taux de 100 %. Il n'y aurait pas de baisse de rendement dans une activité adaptée aux limitations fonctionnelles. Au vu des principes jurisprudentiels rappelés ci-dessus, la chambre de céans constate que le rapport de l'expert réunit toutes les conditions permettant de lui reconnaître une valeur probante: l'expert a en effet pris en compte et analysé</w:t>
      </w:r>
    </w:p>
    <w:p>
      <w:r>
        <w:t>A/186/2015 - 24/27 - l'intégralité du dossier, entendu et examiné l'assuré, et confronté ses propres constatations à celles des médecins ayant eux-mêmes eu à se prononcer sur l'état de santé du recourant. Sur le plan objectif, il n'existe d'ailleurs pas de divergences entre lui et ses confrères. d) dans la phase postérieure à l'expertise, le Dr D______ a confirmé, le 10 juin 2012, que la symptomatologie douloureuse lombaire était toujours présente et tout aussi handicapante. Le 30 janvier 2013 il a indiqué que depuis juin 2012, l'état de santé de l'assuré était resté stationnaire. Les diagnostics étaient inchangés. En août 2013, il confirmait qu'il n'y avait pas de changement notable depuis son dernier rapport, et s'agissant d'une éventuelle reprise de travail, selon lui, la situation médicale avec les limitations fonctionnelles ne permettait pas la reprise d'une activité professionnelle. Le 19 janvier 2014, il indiquait que sur le plan rhumatologique on ne constatait aucune amélioration par rapport à son rapport précédent, du 1er août 2013. Enfin, en octobre 2014, la situation de son patient n'avait que peu évolué. On pouvait donc, selon lui, affirmer que la situation médicale est figée. Ainsi, depuis l'expertise, sinon antérieurement à celle-ci, l'état de santé du recourant est resté stationnaire, ce que le médecin traitant a pu faire vérifier périodiquement par les consultations spécialisées demandées pour son patient, et les nombreux examens d'imagerie auxquels il était procédé périodiquement, à l'instar de ce que constatait le Dr C______ en mai 2011 déjà. En conséquence, l'expertise du Dr J______ a conservé toute son actualité, et elle est opposable au médecin traitant, lequel ne l'a d'ailleurs pas remise en cause. Tout au plus s'est-il, à plusieurs reprises, notamment dans ses rapports intermédiaires des 23 juin et 1er août 2013, borné à affirmer et répéter, sans jamais le justifier, que les limitations tant fonctionnelles qu'intellectuelles ne permettaient pas la reprise d'une activité professionnelle. Il n'a jamais expliqué les raisons médicales objectivement constatables pour lesquelles, en dépit d'un état stationnaire du point de vue rhumatologique, son patient se serait retrouvé, au fil du temps, dans l'incapacité totale d'exercer la moindre activité professionnelle, tous domaines confondus, alors qu'il l'évaluait, dans l'activité exercée jusque-là, à 50 % dans une activité adaptée avec réduction du rendement en raison des douleurs lombaires chroniques limitant la vitesse d'exécution du travail en cuisine. De ce point de vue, d'ailleurs, la chambre de céans constate que l'ORIF dans son compte rendu de la visite du recourant de l'Atelier d'Intégration Professionnelle (ci- après : AIP) en date du 4 mars 2014, a relevé qu'à cette occasion, quand bien même l'assuré avait précisé qu'il lui était impossible de tenir la position assise statique plus de 15 à 30 minutes, il était resté assis durant une heure, tout au long de l'entretien, même si, au moment de se lever, il avait montré quelques difficultés à se redresser. Il avait toutefois encore indiqué à ses interlocuteurs qu'il aimait marcher au bord du Rhône, par beau temps, être capable de marcher plusieurs heures, même si sa démarche est lente et boiteuse. Questionné sur ses motivations à effectuer une</w:t>
      </w:r>
    </w:p>
    <w:p>
      <w:r>
        <w:t>A/186/2015 - 25/27 - mesure à l'ORIF, il avait répondu qu'il ne savait pas pourquoi il se sentait de mauvaise humeur ce jour-là. S'agissant enfin de du rapport d'intégration socioprofessionnelle de l'ORIF, celui-ci ne paraît nullement avoir été écarté par l'OAI : certes, la Cellule monitoring de l'intimé a considéré, au vu des conclusions dudit rapport, que le fait d'écarter le domaine du tertiaire, pour une réadaptation, en raison des limitations linguistiques de l'assuré n'excluait pas une réinsertion possible dans le domaine secondaire. Mais il a illustré son argumentation en énumérant des exemples concrets d'activités adaptées telles que du travail de conditionnement, de construction à l'établi ou même dans l'horlogerie, puisque les atteintes dont souffre le recourant ne touchent pas les cervicales mais les lombaires. Contrairement à ce que le recourant soutient, l'intimé n'a nullement pris à son compte les conclusions du rapport de l'ORIF en tant qu'elles auraient bel et bien impliqué que le retour du recourant sur le marché de l'emploi serait compromis. Il a simplement relevé que si tel était le cas, cela était imputable à des facteurs étrangers à l'invalidité, soit en l'occurrence aux difficultés éprouvées par le recourant par rapport à la langue française. Celles-ci ne sont pas contestées. On observera toutefois que ces difficultés linguistiques existaient déjà, à l'époque où, sans invalidité, il travaillait en tant qu'aide de jardinier et aide de cuisine. Or, dans les activités décrites ci-dessus, tenant compte de ses limitations fonctionnelles, il ne devrait pas éprouver plus de difficultés que précédemment, à raison de la langue. Et en définitive, le rapport de l'ORIF conclut par le constat qu'il semble évident que le recourant à toutes les qualités humaines et professionnelles pour continuer à être actif et utile dans un milieu professionnel adapté. Il est notamment cité, à titre d'exemple, le pronostic qu'il serait un collaborateur apprécié dans un atelier protégé.</w:t>
      </w:r>
    </w:p>
    <w:p>
      <w:r>
        <w:rPr>
          <w:b/>
        </w:rPr>
        <w:t>E. 11</w:t>
      </w:r>
    </w:p>
    <w:p>
      <w:r>
        <w:t>Au vu de ce qui précède, la chambre de céans arrive à la conclusion qu'aucune mesure d'enquête supplémentaire, notamment - comme le recourant y conclut préalablement - l'audition du responsable de l'ORIF et du médecin traitant, le Dr D______ - ne serait susceptible d'influencer de manière décisive le résultat du recours : selon la jurisprudence citée, en cas d'appréciations divergentes entre les organes d'observations professionnelles et les données médicales, l'avis dûment motivé d'un médecin prime pour déterminer la capacité de travail raisonnablement exigible de l'assuré (ATF I 531/04 du 11 juillet 2005, consid. 4.2). Dans le cas d'espèce, la chambre de céans a retenu une pleine valeur probante à l'expertise du Dr J______, et constaté que le médecin traitant n'a apporté aucun élément susceptible de mettre en doute les conclusions motivées de l'expert, dont il ne s'écarte d'ailleurs guère s'agissant des éléments objectifs de l'appréciation, et ne se distance en définitive que sur la question de la capacité de travail du recourant. Et de ce point de vue, force est de constater que le Dr D______ ne fait que substituer sa propre évaluation à celle de l'expert, sans préciser quels éléments objectivement vérifiables auraient été ignorés dans le cadre de l'expertise, et qui auraient dû conduire l'expert à une conclusion différente. Sans la moindre suspicion à l'égard du</w:t>
      </w:r>
    </w:p>
    <w:p>
      <w:r>
        <w:t>A/186/2015 - 26/27 - médecin traitant, la chambre de céans rappelle que le juge peut et doit tenir compte du fait que, selon l'expérience, le médecin traitant est généralement enclin, en cas de doute, à prendre parti pour son patient en raison de la confiance qui l'unit à ce dernier.</w:t>
      </w:r>
    </w:p>
    <w:p>
      <w:r>
        <w:rPr>
          <w:b/>
        </w:rPr>
        <w:t>E. 12</w:t>
      </w:r>
    </w:p>
    <w:p>
      <w:r>
        <w:t>Enfin, le recourant soutient que l'intimé retient - à tort - une réduction de 15 % sur le salaire d'invalide, dès lors que l'âge et les limitations fonctionnelles importantes du recourant auraient dû l'amener à retenir la réduction maximale de 25 %. Au vu des principes rappelés ci-dessus, la chambre de céans considère que dans le cas particulier, on ne saurait considérer que l'intimé aurait fait un mauvais usage du large pouvoir d'appréciation qui lui est consenti dans ce domaine. En effet : au vu des exemples de jurisprudence cités, l'âge du recourant n'est pas si proche de la retraite que l'on devrait en tenir compte en augmentant le taux de réduction pour ce motif. La décision entreprise énonce clairement que ce taux de réduction a été appliqué en raison des limitations fonctionnelles en lien avec l'affection rhumatologique, l'intimé rappelant dans ses écritures sur recours que le taux maximum de 25 % de déduction ne s'applique pas systématiquement, et que l'abattement retenu doit procéder d'une évaluation globale, compte tenu de l'ensemble des circonstances du cas concret. En l'occurrence, et comment l'a vu, l'âge du recourant n'est pas tel que l'on doive exclure pour ce motif toute perspective raisonnable de réinsertion du recourant dans le marché du travail, notamment dans les activités décrites par la Cellule monitoring de l'intimé, sinon par l'ORIF ; les critères linguistiques, intellectuels ou socioculturels préexistaient, lorsque, sans invalidité, le recourant travaillait normalement et à la satisfaction de ses employeurs. Ce grief est lui aussi mal fondé.</w:t>
      </w:r>
    </w:p>
    <w:p>
      <w:r>
        <w:rPr>
          <w:b/>
        </w:rPr>
        <w:t>E. 13</w:t>
      </w:r>
    </w:p>
    <w:p>
      <w:r>
        <w:t>En tous points mal fondés, le recours sera rejeté.</w:t>
      </w:r>
    </w:p>
    <w:p>
      <w:r>
        <w:rPr>
          <w:b/>
        </w:rPr>
        <w:t>E. 14</w:t>
      </w:r>
    </w:p>
    <w:p>
      <w:r>
        <w:t>Le recourant, qui succombe, n’a pas droit à des dépens (art. 61 let. g LPGA).</w:t>
      </w:r>
    </w:p>
    <w:p>
      <w:r>
        <w:rPr>
          <w:b/>
        </w:rPr>
        <w:t>E. 15</w:t>
      </w:r>
    </w:p>
    <w:p>
      <w:r>
        <w:t>La procédure n’étant pas gratuite en assurance-invalidité, le recourant supportera l’émolument de procédure arrêté à CHF 200.- (art. 69 al. 1bis LAI).</w:t>
      </w:r>
    </w:p>
    <w:p>
      <w:r>
        <w:t>A/186/2015 - 27/27 -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