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ATAS/269/2011 vom 17. März 2011</w:t>
      </w:r>
    </w:p>
    <w:p>
      <w:r>
        <w:t>GE Cour de justice, 2011-03-17, FR</w:t>
      </w:r>
    </w:p>
    <w:p>
      <w:r>
        <w:rPr>
          <w:b/>
        </w:rPr>
        <w:t xml:space="preserve">Quelle: </w:t>
      </w:r>
      <w:r>
        <w:t>https://mcp.opencaselaw.ch/entscheid/ge_gerichte_ATAS_269_2011</w:t>
      </w:r>
    </w:p>
    <w:p>
      <w:r>
        <w:t>FR: GE_GERICHTE ATAS/269/2011 du 17 mars 2011</w:t>
      </w:r>
    </w:p>
    <w:p>
      <w:r>
        <w:t>IT: GE_GERICHTE ATAS/269/2011 del 17 marzo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1er janvier 2011, cette compétence revient à la Chambre des assurances sociales de la Cour de justice, laquelle reprend la procédure pendante devant le Tribunal cantonal des assurances sociales (art. 143 al. 6 de la LOJ du 9 octobre 2009). S’agissant de la compétence à raison du lieu, l’art. 25 al. 2 CGA-I prévoit qu’en cas de contestation, l’ayant droit peut ouvrir action contre l’assureur auprès des tribunaux compétents de son domicile ou auprès de ceux de son siège à Carouge.</w:t>
      </w:r>
    </w:p>
    <w:p>
      <w:r>
        <w:t>A/915/2010 - 8/11 - La compétence du Tribunal cantonal des assurances sociales, puis de la Chambre des assurances sociales de la Cour de Justice, pour juger du cas d’espèce est ainsi établie.</w:t>
      </w:r>
    </w:p>
    <w:p>
      <w:r>
        <w:rPr>
          <w:b/>
        </w:rPr>
        <w:t>E. 2</w:t>
      </w:r>
    </w:p>
    <w:p>
      <w:r>
        <w:t>L’assurance en cause est une assurance complémentaire soumise à la loi fédérale sur le contrat d’assurance du 2 avril 1908 (ci-après : LCA), comme le rappelle l’art. 2 des CGA-I.</w:t>
      </w:r>
    </w:p>
    <w:p>
      <w:r>
        <w:rPr>
          <w:b/>
        </w:rPr>
        <w:t>E. 3</w:t>
      </w:r>
    </w:p>
    <w:p>
      <w:r>
        <w:t>La demande respecte la forme prévue à l'art. 89B de la loi sur la procédure administrative du canton de Genève du 12 septembre 1985 (LPA). Partant, elle est recevable.</w:t>
      </w:r>
    </w:p>
    <w:p>
      <w:r>
        <w:rPr>
          <w:b/>
        </w:rPr>
        <w:t>E. 4</w:t>
      </w:r>
    </w:p>
    <w:p>
      <w:r>
        <w:t>Le litige porte sur la prise en charge de l’abdominoplastie du 1er décembre 2009.</w:t>
      </w:r>
    </w:p>
    <w:p>
      <w:r>
        <w:rPr>
          <w:b/>
        </w:rPr>
        <w:t>E. 5</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 consid. 1b). Finalement, et de façon subsidiaire, lorsqu'il subsiste un doute sur leur sens, les dispositions exclusivement rédigées par l'assureur, ainsi les conditions générales pré-formulées, sont à interpréter en défaveur de leur auteur,</w:t>
      </w:r>
    </w:p>
    <w:p>
      <w:r>
        <w:t>A/915/2010 - 9/11 - conformément à la règle des clauses ambiguës ("in dubio contra stipulatorem";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 décembre 2003, consid. 3.6; ATF 122 III 124, consid. 2d).</w:t>
      </w:r>
    </w:p>
    <w:p>
      <w:r>
        <w:rPr>
          <w:b/>
        </w:rPr>
        <w:t>E. 6</w:t>
      </w:r>
    </w:p>
    <w:p>
      <w:r>
        <w:t>En l’espèce, l’art. 3 des conditions spéciales d’assurance complémentaire « OPTIMA + » prévoit que la totalité des frais de traitement et de pension est assurée en cas d’hospitalisation. L’art. 15 lit. c des CGA-I prévoit toutefois, sous le titre « Risques exclus » que les prestations ne sont pas accordées pour les traitements non reconnus par le Conseil fédéral dans le cadre de la LAMal et pour les soins esthétique non consécutif à un cas pris en charge par l’assureur. L’on comprend de manière non équivoque que les prestations d’assurances ne couvrent pas les traitements non pris en charge dans le cadre de la LAMal. L’assurée n’a d’ailleurs à aucun moment, y compris dans le cadre de la présente procédure, indiqué n’avoir pas compris le sens clair de cette disposition. Au demeurant, cette disposition ne va pas à l’encontre du but de la couverture « OPTIMA + » qui est essentiellement de permettre à l’assurée d’être hospitalisée en division privée ou semi-privée. Il convient ainsi de retenir que l’art. 15 lit. c des CGA-I correspond à la réelle et commune intention des parties, de sorte qu’il pourra en être fait application. Or, suite au jugement du 2 juillet 2010, désormais définitif, de la Cour des assurances sociales du Tribunal cantonal du Valais, il s’avère que l’abdominoplastie du 1er décembre 2009 n’est pas prise en charge par la caisse- maladie, conformément aux dispositions de la LAMal. Ainsi, en vertu de l’art. 15 lit. c des CGA-I, c’est à bon droit que l’assureur a refusé la prise en charge de cette même intervention.</w:t>
      </w:r>
    </w:p>
    <w:p>
      <w:r>
        <w:rPr>
          <w:b/>
        </w:rPr>
        <w:t>E. 7</w:t>
      </w:r>
    </w:p>
    <w:p>
      <w:r>
        <w:t>L’assurée sera ainsi déboutée des fins de sa demande.</w:t>
      </w:r>
    </w:p>
    <w:p>
      <w:r>
        <w:rPr>
          <w:b/>
        </w:rPr>
        <w:t>E. 8</w:t>
      </w:r>
    </w:p>
    <w:p>
      <w:r>
        <w:t>Il n’y a pas lieu d’allouer des dépens à l’assureur qui obtient gain de cause (ATAS/737/2008 du 19 juin 2008).</w:t>
      </w:r>
    </w:p>
    <w:p>
      <w:r>
        <w:rPr>
          <w:b/>
        </w:rPr>
        <w:t>E. 9</w:t>
      </w:r>
    </w:p>
    <w:p>
      <w:r>
        <w:t>La procédure est gratuite.</w:t>
      </w:r>
    </w:p>
    <w:p>
      <w:r>
        <w:rPr>
          <w:b/>
        </w:rPr>
        <w:t>E. 10</w:t>
      </w:r>
    </w:p>
    <w:p>
      <w:r>
        <w:t>Il sera enfin précisé, afin de satisfaire aux réquisits de l’art. 112 al. 1 lit. d LTF, que la valeur litigieuse s’élève à 14'850 fr.</w:t>
      </w:r>
    </w:p>
    <w:p>
      <w:r>
        <w:t>A/915/2010 - 10/11 -</w:t>
      </w:r>
    </w:p>
    <w:p>
      <w:r>
        <w:t>A/915/2010 - 11/11 -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