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ATAS/269/2010 vom 20. April 2009</w:t>
      </w:r>
    </w:p>
    <w:p>
      <w:r>
        <w:t>GE Cour de justice, 2009-04-20, FR</w:t>
      </w:r>
    </w:p>
    <w:p>
      <w:r>
        <w:rPr>
          <w:b/>
        </w:rPr>
        <w:t xml:space="preserve">Quelle: </w:t>
      </w:r>
      <w:r>
        <w:t>https://mcp.opencaselaw.ch/entscheid/ge_gerichte_ATAS_269_2010</w:t>
      </w:r>
    </w:p>
    <w:p>
      <w:r>
        <w:t>FR: GE_GERICHTE ATAS/269/2010 du 20 avril 2009</w:t>
      </w:r>
    </w:p>
    <w:p>
      <w:r>
        <w:t>IT: GE_GERICHTE ATAS/269/2010 del 20 aprile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w:t>
      </w:r>
    </w:p>
    <w:p>
      <w:r>
        <w:t>- 4/7-</w:t>
      </w:r>
    </w:p>
    <w:p>
      <w:r>
        <w:t>A/1824/2009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L'article 60 LPGA prévoit également un délai de 30 jours suivant la notification de la décision pour déposer le recours.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Selon l'art. 89C LPA, les délais en jours ou en mois fixés par la loi ou par l'autorité ne courent pas : a) du 7e jour avant Pâques au 7e jour après Pâques inclusivement; b) du 15 juillet au 15 août inclusivement; c) du 18 décembre au 1er janvier inclusivement.</w:t>
      </w:r>
    </w:p>
    <w:p>
      <w:r>
        <w:t>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En vertu de l’art. 16 al. 1 LPA, le délai légal ne peut être prolongé. En effet, la sécurité du droit exige que certains actes ne puissent plus être accomplis passé un certain laps de temps : un terme est ainsi mis aux possibilités de contestation, de</w:t>
      </w:r>
    </w:p>
    <w:p>
      <w:r>
        <w:t>- 5/7-</w:t>
      </w:r>
    </w:p>
    <w:p>
      <w:r>
        <w:t>A/1824/2009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contestable que le recours a été interjeté après le délai de 30 jours dès sa réception. La décision a été reçue le 24 avril 2009. Le délai de 30 jours a échu le dimanche 24 mai et a été reporté au lundi 25 mai 2009. Or, il a été déposé le 26 mai 2009 au greffe du Tribunal.</w:t>
      </w:r>
    </w:p>
    <w:p>
      <w:r>
        <w:rPr>
          <w:b/>
        </w:rPr>
        <w:t>E. 4</w:t>
      </w:r>
    </w:p>
    <w:p>
      <w:r>
        <w:t>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10 jours à compter de celui où il a cessé. Il s’agit-là de dispositions impératives auxquelles il ne peut être dérogé (Jurisprudence des autorités administratives de la Confédération [JAAC] 60/1996, consid. 5.4, p. 367 ; ATF 119 II 87 consid. 2a; ATF 112 V 256 consid. 2a). Le droit fédéral, qui prime,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applicable à la procédure devant le TCAS selon l'article 60 LPGA).</w:t>
      </w:r>
    </w:p>
    <w:p>
      <w:r>
        <w:rPr>
          <w:b/>
        </w:rPr>
        <w:t>E. 5</w:t>
      </w:r>
    </w:p>
    <w:p>
      <w:r>
        <w:t>En l'espèce, une restitution du délai de recours au sens des articles 41 et 60 LPGA ne se justifie pas. En effet, l’on ne peut considérer que le recourant a été empêché</w:t>
      </w:r>
    </w:p>
    <w:p>
      <w:r>
        <w:t>- 6/7-</w:t>
      </w:r>
    </w:p>
    <w:p>
      <w:r>
        <w:t>A/1824/2009 sans sa faute d’agir dans le délai fixé. S'il ne maîtrisait pas parfaitement la langue française, il devait consulter rapidement son syndicat à réception de la décision, le 24 avril 2009, afin de se faire conseiller et aider à la rédaction de son recours dans le délai de 30 jours, clairement indiqué sur la décision. De plus, l'indication de ce délai était compréhensible pour le recourant lui-même, qui comprend suffisamment le français, dès lors qu'il s'est exprimé sans interprète lors des deux audiences devant le Tribunal. Le fait d'avoir été, le cas échéant, mal conseillé par son mandataire, n'est pas considéré comme un motif valable de restitution. En l'absence de motif valable de restitution de délai, le recours doit être déclaré irrecevable pour cause de tardiveté.</w:t>
      </w:r>
    </w:p>
    <w:p>
      <w:r>
        <w:rPr>
          <w:b/>
        </w:rPr>
        <w:t>E. 6</w:t>
      </w:r>
    </w:p>
    <w:p>
      <w:r>
        <w:t>Cela étant, la demande d'aide au placement a été prise en compte par l'OAI lors de l'audience du 19 janvier 2010, de sorte que la tardiveté du recours contre la décision de refus de rente n'empêche pas le recourant de bénéficier de l'aide de l'assurance invalidité pour retrouver un emploi adapté à ses limitations fonctionnelles.</w:t>
      </w:r>
    </w:p>
    <w:p>
      <w:r>
        <w:t>- 7/7-</w:t>
      </w:r>
    </w:p>
    <w:p>
      <w:r>
        <w:t>A/1824/2009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