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ATAS/268/2024 vom 24. April 2024</w:t>
      </w:r>
    </w:p>
    <w:p>
      <w:r>
        <w:t>GE Cour de justice, 2024-04-24, FR</w:t>
      </w:r>
    </w:p>
    <w:p>
      <w:r>
        <w:rPr>
          <w:b/>
        </w:rPr>
        <w:t xml:space="preserve">Quelle: </w:t>
      </w:r>
      <w:r>
        <w:t>https://mcp.opencaselaw.ch/entscheid/ge_gerichte_ATAS_268_2024</w:t>
      </w:r>
    </w:p>
    <w:p>
      <w:r>
        <w:t>FR: GE_GERICHTE ATAS/268/2024 du 24 avril 2024</w:t>
      </w:r>
    </w:p>
    <w:p>
      <w:r>
        <w:t>IT: GE_GERICHTE ATAS/268/2024 del 24 aprile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w:t>
      </w:r>
    </w:p>
    <w:p>
      <w:r>
        <w:rPr>
          <w:b/>
        </w:rPr>
        <w:t>E. 3</w:t>
      </w:r>
    </w:p>
    <w:p>
      <w:r>
        <w:t>Le litige porte sur le droit du recourant à une rente d’invalidité dès le 1er avril 2018.</w:t>
      </w:r>
    </w:p>
    <w:p>
      <w:r>
        <w:rPr>
          <w:b/>
        </w:rPr>
        <w:t>E. 4.1</w:t>
      </w:r>
    </w:p>
    <w:p>
      <w:r>
        <w:t>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w:t>
      </w:r>
    </w:p>
    <w:p>
      <w:r>
        <w:t>A/2930/2022 - 5/23 -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Dans les cas de révision selon l'art. 17 LPGA, conformément aux principes généraux du droit intertemporel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et 8C_644/2022 du 8 février 2023 consid. 2.2.3).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rPr>
          <w:b/>
        </w:rPr>
        <w:t>E. 4.2</w:t>
      </w:r>
    </w:p>
    <w:p>
      <w:r>
        <w:t>En l’occurrence, la décision querellée est postérieure au 1er janvier 2022, mais elle concerne le droit à une rente d’invalidité né le 1er février 2016, avec des changements de circonstance pouvant être survenus en 2018 et en juin 2021, de sorte que c’est le droit en vigueur jusqu’au 31 décembre 2021 qui est applicable.</w:t>
      </w:r>
    </w:p>
    <w:p>
      <w:r>
        <w:rPr>
          <w:b/>
        </w:rPr>
        <w:t>E. 5.1.1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w:t>
      </w:r>
    </w:p>
    <w:p>
      <w:r>
        <w:t>A/2930/2022 - 6/23 -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L’assuré a droit à une rente entière s’il est invalide à 70% au moins, à un trois quarts de rente s'il est invalide à 60% au moins, à une demi-rente s’il est invalide à 50 % au moins, ou à un quart de rente s’il est invalide à 40 % au moins (art. 28 al. 2 LAI).</w:t>
      </w:r>
    </w:p>
    <w:p>
      <w:r>
        <w:rPr>
          <w:b/>
        </w:rPr>
        <w:t>E. 5.2.1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w:t>
      </w:r>
    </w:p>
    <w:p>
      <w:r>
        <w:rPr>
          <w:b/>
        </w:rPr>
        <w:t>E. 5.2.2</w:t>
      </w:r>
    </w:p>
    <w:p>
      <w:r>
        <w:t>Il y a lieu d'examiner la capacité de travail et la capacité fonctionnelle de la personne concernée dans le cadre d'une procédure structurée d'administration des preuves à l'aide d'indicateurs (ATF 141 V 28), car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t>A/2930/2022 - 7/23 - 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développés par le Tribunal fédéral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w:t>
      </w:r>
    </w:p>
    <w:p>
      <w:r>
        <w:t>A/2930/2022 - 8/23 -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rPr>
          <w:b/>
        </w:rPr>
        <w:t>E. 5.2.3</w:t>
      </w:r>
    </w:p>
    <w:p>
      <w:r>
        <w:t>Le juge vérifie librement si l’expert médical a exclusivement tenu compte des déficits fonctionnels résultant de l’atteinte à la santé et si son évaluation de l’exigibilité repose sur une base objective.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w:t>
      </w:r>
    </w:p>
    <w:p>
      <w:r>
        <w:t>A/2930/2022 - 9/23 - ainsi que l'allégation de lourds handicaps malgré un environnement psychosocial intact (cf. ATF 131 V 49 consid. 1.2).</w:t>
      </w:r>
    </w:p>
    <w:p>
      <w:r>
        <w:rPr>
          <w:b/>
        </w:rPr>
        <w:t>E. 5.3</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w:t>
      </w:r>
    </w:p>
    <w:p>
      <w:r>
        <w:t>A/2930/2022 - 10/23 -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5.4</w:t>
      </w:r>
    </w:p>
    <w:p>
      <w:r>
        <w:t>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w:t>
      </w:r>
    </w:p>
    <w:p>
      <w:r>
        <w:rPr>
          <w:b/>
        </w:rPr>
        <w:t>E. 5.5</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(art. 88a al. 1 phr. 1 RAI); on attendra en revanche trois mois au cas où le caractère évolutif de l'atteinte à la santé, notamment la possibilité d'une aggravation, ne permettrait pas un jugement immédiat (art. 88a al. 1 phr. 2 ;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6. En l’espèce, le recourant conteste les résultats de l’expertise bidisciplinaire du I______, dont il convient d’examiner la valeur probante. 6.1 La chambre de céans constate que le rapport d’expertise répond de prime abord aux réquisits permettant de lui reconnaître une pleine valeur probante et examinera ci-après les critiques formulées à son encontre par le recourant. 6.2 6.2.1 Celui-ci a fait valoir que l’évaluation de la baisse de rendement faite par le Dr G______, qui l’évaluait à 20%, ne tenait pas compte de l’ensemble de ses limitations fonctionnelles. L’expert n'avait motivé ce pourcentage qu’en raison de la fatigue et des crises récidivantes symptomatiques, sans tenir compte d’une diminution de rendement due à la nécessité d’alterner ses positions, alors qu’il avait retenu cette limitation fonctionnelle. Selon l’intimé, l’expertise était probante et les limitations fonctionnelles retenues par l’expert rhumatologue ne justifiaient pas de diminution de rendement dans une activité strictement adaptée. 6.2.2 Dans son rapport, le Dr G______ a retenu que la capacité de travail du recourant en tant que patron d’une entreprise de construction était réduite de 20% en raison de la fatigue et des crises récidivantes symptomatiques depuis février 2015. Les limitations fonctionnelles étaient le port fréquent de charges de plus</w:t>
      </w:r>
    </w:p>
    <w:p>
      <w:r>
        <w:rPr>
          <w:b/>
        </w:rPr>
        <w:t>E. 9</w:t>
      </w:r>
    </w:p>
    <w:p>
      <w:r>
        <w:t>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En effet,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w:t>
      </w:r>
    </w:p>
    <w:p>
      <w:r>
        <w:t>A/2930/2022 - 11/23 -</w:t>
      </w:r>
    </w:p>
    <w:p>
      <w:r>
        <w:rPr>
          <w:b/>
        </w:rPr>
        <w:t>E. 10</w:t>
      </w:r>
    </w:p>
    <w:p>
      <w:r>
        <w:t>kg et la station debout et assise prolongée. Dans l’exercice d’une activité respectant ces limitations, la capacité de travail était entière depuis toujours. Le temps de présence maximal possible dans l’activité envisagée était complet, moins 20% en raison de la réduction de la performance.</w:t>
      </w:r>
    </w:p>
    <w:p>
      <w:r>
        <w:t>A/2930/2022 - 12/23 - La chambre de céans constate que l’expert a ainsi bien pris en compte les limitations fonctionnelles du recourant. Dans la mesure où celles-ci n’empêchaient pas, selon l’expert, une activité respectant ces dernières à 100%, il est cohérent qu’il n’en ait pas tenu compte dans son évaluation de la baisse de rendement. Dès lors que l’activité du recourant en tant que patron d’une entreprise de maçonnerie était adaptée à ses limitations fonctionnelles, il n’y avait pas forcément baisse de rendement en raison du changement de positions nécessaire. Ce grief doit être écarté. 6.3 6.3.1 Le recourant a encore allégué qu’on ne comprenait pas pour quelle raison l’experte psychiatre jugeait que sa capacité de travail était nulle dans l’activité habituelle jusqu’en juin 2021 puis de 50% dès cette date, alors que l’évaluation de la capacité de travail dans une activité adaptée était largement différente, évoluant par paliers de 0 et 100%. La description des caractéristiques auxquelles une activité adaptée devait répondre ne permettait pas de comprendre pourquoi il existait une différence entre l’évaluation de la capacité dans l’activité habituelle et dans l’activité adaptée. 6.3.2 Dans son rapport, la Dre H______ a indiqué, en lien avec le rapport établi le 29 mai 2019 par le Dr D______ (qui retenait une incapacité de travail de 100% en raison d’une dépression récurrente majeure d’intensité modérée) que lors de son propre examen, elle n’avait pas retenu que le recourant présentait une incapacité de travail à 100% pour des raisons purement psychiatriques. Celui-ci se décrivait comme quelqu’un de réservé avec une tendance à être préoccupé et reconnaissait que les événements de 2015 l’avaient précipité dans un état de peur et d’incertitude qui avait joué un rôle dans sa difficulté à se rétablir psychiquement. Néanmoins, en juin 2021, ne trouvant pas de travail et ne supportant plus d’être désœuvré, il avait décidé de monter une entreprise de sous-traitance avec des collègues et de créer ainsi une activité à 50% qui lui plaisait et sur laquelle il fondait beaucoup d’espoir. Selon l’experte, le recourant avait ainsi démontré avoir beaucoup de ressources, précisant que son comportement face à la maladie était l’adaptation et la résilience, qu’il avait un sens des réalités et une capacité de jugement, une capacité relationnelle et l’aptitude à nouer des contacts, la capacité de gérer l’affect et à contrôler ses impulsions, une estime de soi, une capacité à l’autocritique, une intentionnalité, un dynamisme et un système de défense qui était la résilience et l’adaptation. Il était capable de structurer et planifier les tâches en utilisant ses compétences. Sa capacité de jugement et sa flexibilité étaient intactes. En revanche, il avait du mal à s’affirmer, à se montrer flexible et à s’adapter avec comme corollaire quelques problèmes légers à établir des relations avec les autres, donc à évoluer au sein d’un groupe. Son endurance était également un peu diminuée. En revanche, il se déplaçait sans difficulté et vivait en harmonie avec ses proches. Il avait suivi et terminé une réinsertion professionnelle avec une bonne maîtrise des outils spécifiques dans le dessin du bâtiment et les</w:t>
      </w:r>
    </w:p>
    <w:p>
      <w:r>
        <w:t>A/2930/2022 - 13/23 - techniques de logiciel BIM ainsi qu’une connaissance de la gestion administrative de bureaux d’architectes et d’ingénieurs. N’ayant pas trouvé de travail dans cette branche, il avait créé sa propre entreprise de sous-traitance en juin 2021. Il disait ne plus pouvoir utiliser les connaissances qu’il avait apprises lors de son reclassement. Il était suivi sur le plan psychiatrique selon les règles de l’art. Un soutien psychothérapeutique pourrait cependant l’aider à mieux gérer sa personnalité anxieuse. Selon la Dre H______, le recourant pouvait travailler 4 heures 10 par jour depuis juin 2021 dans l’activité exercée en dernier lieu. Sa capacité de travail était de 50% dans cette activité depuis juin 2021. Il avait présenté une incapacité de travail de 100% de 2015 à 2017, puis de 50% de 2017 à 2018, période pendant laquelle il avait suivi la formation de réinsertion professionnelle de l’assurance-invalidité. À partir de 2018, le recourant avait présenté une capacité de travail de 50% avec une évolution favorable, puisqu’il avait pu fonder sa propre entreprise à partir de juin 2021. Dans une activité correspondant à ses aptitudes (pas de travail de nuit ni horaires irréguliers, possibilité de faire de courtes pauses pour gérer les différents impacts émotionnels et les relations avec ses commanditaires, pouvoir compter sur une équipe soutenante et rassurante et se sentir reconnu), il pouvait travailler 8 heures 25 par jour depuis juin 2021. Dans l’anamnèse, la Dre H______ a mentionné que du point de vue professionnel, le recourant avait indiqué avoir toujours travaillé dans le bâtiment et gravi petit à petit la hiérarchie pour devenir chef de groupe. Dans son dernier poste de travail, il était contremaître. Il dirigeait une équipe avec les plans et participait aux réunions avec les architectes. Parfois, il devait donner un coup de main en qualité de maçon. Il avait décidé de fonder une entreprise comme indépendant. Il cherchait des mandats et des sous-traitances auprès d’architectes et de membres de la branche où il plaçait des collègues. Il s’occupait de la partie administrative et travaillait tous les jours de 9h à 12h, ce qui lui convenait. 6.3.3 La chambre de céans constate que de manière générale l’experte aurait pu motiver davantage son rapport. L’on ne perçoit pas, à première lecture, pourquoi elle jugeait différemment la capacité de travail dans l’activité habituelle et dans une activité adaptée. Cela étant, il ressort de son rapport pris dans son ensemble qu’elle a manifestement retenu une capacité moindre pour l’activité habituelle, car celle-ci comprenait une activité partielle de maçon, selon ce qui ressort de l’anamnèse, ce qui n’était pas le cas dans l’activité indépendante entreprise par le recourant dès juin 2021. L’experte aurait également pu être plus précise sur l’évolution de la capacité de travail du recourant dans le temps, en distinguant les capacités dans l’activité habituelle et dans une activité adaptée, mais elle a donné assez d’éléments dans son rapport pour que l’on puisse comprendre ses conclusions. Il en ressort en effet qu’elle considérait que l’incapacité de travail avait été de 100% de 2015 à 2017 dans l’activité habituelle, puis de 50% dès 2018 et qu’elle retenait une capacité de</w:t>
      </w:r>
    </w:p>
    <w:p>
      <w:r>
        <w:t>A/2930/2022 - 14/23 - travail complète dans une activité adaptée dès juin 2021. Il ne se justifie ainsi pas de faire procéder à un complément d’instruction. 6.4 6.4.1 Le recourant a encore relevé que l’experte psychiatre avait retenu comme limitations fonctionnelles qu’il devait pouvoir faire des pauses courtes pour gérer l’impact émotionnel dû aux relations avec autrui, mais qu’elle n’en avait pas tenu compte dans l’évaluation de la capacité de travail en ne retenant aucune diminution de rendement. 6.4.2 L’experte a indiqué dans son rapport que l’activité correspondant aux aptitudes du recourant devait avoir pour caractéristiques, pour correspondre de manière optimale à son handicap, de pouvoir notamment faire de courtes pauses pour gérer les différents impacts émotionnels que les relations avec les commanditaires impliquaient. Dès lors qu’elle décrivait l’activité la plus adaptée aux limitations du recourant, il apparaît cohérent que celles-ci pouvaient être gérées dans le cadre de cette activité sans générer de baisse de rendement. 6.5 6.5.1 Le recourant a fait valoir que l’experte psychiatre avait des conclusions contradictoires sur sa capacité de travail dans une activité adaptée, puisqu’elle retenait une capacité de travail de 100% dans son rapport depuis juin 2021, alors que dans l’évaluation consensuelle, elle retenait une telle capacité depuis 2018. Selon l’intimé, du point de vue psychiatrique, la capacité de travail du recourant était de 100% dans une activité adaptée depuis 2018. Dans son avis du 1er novembre 2022, le SMR avait indiqué ne pas voir de contradiction entre les conclusions de l’expertise psychiatrique et les conclusions consensuelles sur le plan psychiatrique. En effet, dans son rapport, l’experte avait mentionné les capacités de travail que l’assuré avait effectuées de manière objective et, dans son appréciation consensuelle, c’était l’exigibilité médico-théorique qui était évaluée comme entière dès janvier 2018. En effet, dès cette date, l’assuré avait terminé avec succès les mesures de réadaptation et s’était inscrit au chômage. 6.5.2 La chambre de céans constate que dans l’évaluation consensuelle de l’expertise, il est indiqué que sur le plan psychique, la capacité de travail du recourant dans une activité adaptée était de 100% du point de vue psychiatrique depuis 2018. Les experts ont ensuite conclu, de façon consensuelle après plusieurs discussions, que du point de vue psychiatrique, la capacité de travail dans l’activité habituelle était de 50% depuis juin 2021, date à laquelle le recourant avait fondé sa propre entreprise, et totale dans une activité adaptée. Au terme de l’expertise et rétroactivement, la capacité de travail globale était entière dans une activité adaptée avec une réduction de la performance de 20%.</w:t>
      </w:r>
    </w:p>
    <w:p>
      <w:r>
        <w:t>A/2930/2022 - 15/23 - Les experts auraient dû être plus précis, en fixant à partir de quand la capacité de travail globale était entière dans une activité adaptée. L’intimé a retenu que c’était depuis l’année 2018, puisqu’il a octroyé une rente entière d’invalidité au recourant du 1er février 2016 au 31 mars 2018. Contrairement à ce qu’allègue l’intimé, il ressort de son rapport que l’experte psychiatre a retenu le retour à une pleine capacité de travail dans une activité adaptée à juin 2021, soit à la date à laquelle le recourant a commencé son activité indépendante, car cela démontrait une évolution favorable depuis 2018, date à partir de laquelle, elle ne retenait qu’une capacité de travail dans une telle activité de 50%. Le recourant avait, selon l’experte, montré qu’il avait des ressources puisqu’il avait fait toutes les démarches nécessaires pour mettre sur pied son entreprise. L’experte a ainsi clairement conclu que la capacité de travail du recourant dans une activité adaptée était de 100% dès juin 2021. Faute de motivation dans les conclusions consensuelles sur la prise en compte d’une capacité de travail entière dans une activité adaptée dès 2018, il y a lieu de retenir les conclusions motivées de l’experte psychiatre, à savoir que cette capacité doit être datée de juin 2021 et que de 2018 à juin 2021, la capacité de travail du recourant était de 50% dans une activité adaptée. 6.6 6.6.1 Le recourant a fait encore valoir que son psychiatre, le Dr D______, estimait qu’il était incapable de travailler à 100% dans une activité adaptée, sur la base des diagnostics d’anxiété généralisée et de dépression de type récurrent, ce qui contredisait ainsi les conclusions de l’expertise bidisciplinaire. 6.6.2 La chambre de céans relève que le rapport du 29 mai 2019 du Dr D______ ne remet pas en cause les conclusions de l’experte psychiatre, dès lors qu’il retenait une incapacité de travail à 100% dès 2015, alors qu’il est établi que le recourant a été capable de se soumettre à une mesure de reclassement à 50% de 2017 à 2018. L’experte psychiatre a en outre suffisamment motivé son rapport pour que l’on comprenne pour quels motifs, elle a retenu, contrairement au médecin traitant du recourant, une capacité de travail entière dans une activité adaptée dès juin 2021. 6.7 6.7.1 Le recourant a fait valoir que l’experte psychiatre avait constaté un nouvel épisode dépressif en novembre 2021 sans en tirer de conclusion sur sa capacité de travail dès 2021. 6.7.2 Il ressort de la motivation de son rapport que l’experte a bien pris en compte le fait que l’état dépressif du recourant s’était aggravé suite au décès de son père (novembre 2021), puisqu’elle a relevé que cela avait conduit à l’adaptation de son traitement médicamenteux, mais que cette aggravation n’a pas été durable, au vu</w:t>
      </w:r>
    </w:p>
    <w:p>
      <w:r>
        <w:t>A/2930/2022 - 16/23 - des constats faits par l’experte lors de son examen du recourant, relativement peu de temps après (décembre 2021). La critique du recourant est ainsi infondée. 6.8 6.8.1 Cela étant, il convient d’examiner l’exigibilité d’une activité professionnelle du recourant, qui souffre de troubles psychiatriques, avec les indicateurs de gravité développés par le Tribunal fédéral. L’intimé a relevé à cet égard que le SMR avait considéré le 5 janvier 2023 que le diagnostic d’épisode dépressif majeur d’intensité sévère ne correspondait pas à ce que l’experte psychiatre avait constaté et que celle-ci avait retenu que la capacité de travail du recourant était de 50% dans l’activité habituelle et de 100% dans une activité adaptée dès 2018, en se fondant correctement sur les indicateurs standards de gravité. 6.8.2 En l’occurrence, la chambre de céans constate que l’experte n’a pas relevé de détresse particulière du recourant et que la gravité de ses troubles était relative, s’agissant d’un diagnostic de trouble dépressif récurrent d’intensité légère. L’experte a en outre estimé que le recourant bénéficiait de beaucoup de ressources, dans la mesure où il avait pu monter une entreprise de sous-traitance. Elle a également indiqué que son comportement face à la maladie était l’adaptation et la résilience et qu’il avait des capacités relationnelles et l’aptitude à nouer des contacts. Il se déplaçait sans difficulté et vivait en harmonie avec ses proches. Son intentionnalité et son dynamisme étaient présents. Il n’avait aucun problème avec la planification et la structure des tâches et l’aptitude à entretenir des relations proches. En revanche, il avait du mal à se montrer flexible et à s’adapter avec quelques problèmes légers à établir des relations avec les autres et à évoluer au sein d’un groupe. Son endurance était également un peu diminuée. Il avait une certaine difficulté à s’affirmer. L’experte a encore indiqué que le recourant était suivi sur le plan psychiatrique selon les règles de l’art et que le pronostic était favorable. Il était vu par le Dr D______ une fois par mois. Contrairement à ce qu’a allégué l’intimé, il n’a pas été retenu d’incohérence par l’experte en ce qui concernait la compliance du recourant au traitement de psychotropes et d’antalgiques, au motif que les dosages étaient revenus infra-thérapeutiques ou négatifs, car l’experte a considéré qu’il s’agissait probablement d’un acétyleur rapide (métabolisme rapide) et non d’une adhésion médicamenteuse partielle. L’experte a en outre retenu que le recourant n’avait pas présenté d’éléments d’amplification, d’exagération ou de simulation de symptômes lors de l’expertise. Le recourant a informé l’experte qu’il n’avait pas beaucoup d’amis mais des vrais et qu’il s’entendait bien avec sa femme qui le soutenait dans ses difficultés et ses douleurs. Il aimait marcher, notamment avec sa petite-fille et il s’occupait de l’administration de son foyer. Il était parti en vacances au mois d’août 2021 au Kosovo.</w:t>
      </w:r>
    </w:p>
    <w:p>
      <w:r>
        <w:t>A/2930/2022 - 17/23 - Il ressort des éléments qui précèdent, en tenant compte des indicateurs de gravité développés par le Tribunal fédéral, que le recourant n’était pas incapable de travailler dans une activité adaptée, comme l’a retenu l’experte de façon convaincante. 6.9 6.9.1 Le recourant a encore relevé plusieurs incohérences dans l’expertise psychiatrique, notamment le fait qu’il y était indiqué qu’il dormait bien la nuit alors que, dans la même phrase, des cauchemars étaient relatés, le fait que le pronostic favorable n’était pas motivé et que l’experte ne semblait pas tenir compte du fait qu’il bénéficiait déjà d’un soutien psychothérapeutique. 6.9.2 S’agissant du sommeil, l’experte a indiqué, sous le déroulement d’une journée-type, que le recourant se levait à 7h et se couchait à 22h. Il dormait bien la nuit, si ce n’était qu’il était réveillé soit par un besoin d’uriner, soit par des cauchemars. Il ne dormait pas d’un trait et avait l’impression d’être fatigué au réveil. L’experte relatait là ce que lui avait indiqué le recourant, de sorte que l’on ne saurait retenir dans ce contexte une contradiction de sa part. Il n’apparaît en outre pas forcément contradictoire d’indiquer bien dormir, puis de préciser que le sommeil était interrompu par un besoin d’uriner ou des cauchemars. Les questions du pronostic et des suggestions thérapeutiques ne sont pas déterminantes pour l’issue du présent litige et par conséquent sans incidence sur la valeur probante de l’expertise. 6.10 En conclusion, les critiques émises par le recourant contre l’expertise ne remettent pas en cause sa force probante. Il ne se justifie donc pas de faire procéder à un complément d’expertise ni à une nouvelle expertise. Il n’y a en outre pas lieu d’entendre les médecins traitants du recourant, dont les rapports figurent au dossier. 6.11 6.11.1 Le recourant a fait valoir que son inscription à l’OCE était intervenue dans le cadre des mesures de reclassement professionnel mises en place par l’intimé, qui lui avait enjoint de le faire dès le 1er janvier 2018. Son taux d’inscription au chômage ne reflétait ainsi pas nécessairement ce qu’il était capable réellement d’assumer comme activité professionnelle. 6.11.2 La question de la capacité de travail étant effectivement d’ordre médical, la chambre de céans admet que le taux d’inscription à l’OCE n’est pas déterminant. 7. Le recourant conteste le calcul du taux d’invalidité retenu par l’intimé. 7.1 7.1.1 Chez les assurés actifs, le degré d'invalidité doit être évalué sur la base d'une comparaison des revenus. Pour cela, le revenu que l'assuré aurait pu réaliser s'il n'était pas invalide est comparé avec celui qu'il pourrait obtenir en exerçant</w:t>
      </w:r>
    </w:p>
    <w:p>
      <w:r>
        <w:t>A/2930/2022 - 18/23 -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7.2 7.2.1 Le recourant a critiqué en particulier le revenu annuel brut sans invalidité pris en compte par l’intimé à hauteur de CHF 75'141.-, faisant valoir que le salaire qu’il percevait de son employeur était inférieur au minimal légal selon la convention collective de travail, compte tenu de ses tâches effectives de contremaître. La convention collective de travail des cadres de la construction (contremaître et chef d’atelier) fixait le salaire minimum à CHF 6'733.- par mois dans le canton de Genève (art. 10.2.1), soit CHF 87'529.- par an, 13e salaire compris. Compte tenu de la différence de plus de 16% entre le salaire sans invalidité retenu par l’intimé et le salaire minimal prévu par la convention collective précitée, il y avait lieu de retenir un salaire sans invalidité de CHF 87'529.- par an. 7.2.2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w:t>
      </w:r>
    </w:p>
    <w:p>
      <w:r>
        <w:t>A/2930/2022 - 19/23 -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références). Le revenu effectivement réalisé doit être considéré comme nettement inférieur aux salaires habituels de la branche lorsqu'il est inférieur d'au moins 5% au salaire statistique usuel dans la branche (ATF 135 V 297 consid. 6.1.2; arrêt du Tribunal fédéral 8C_677/2021 du 31 janvier 2022 consid. 4.2.2). Lors de l'examen du caractère inférieur à la moyenne du revenu de célibataire, il convient de comparer en premier lieu le revenu statistique usuel de la branche selon l'enquête sur la structure des salaires (ESS) publiée par l'Office fédéral de la statistique(ATF 141 V 1 consid. 5.6). Lorsque le salaire effectivement réalisé correspond au minimum prévu par une convention collective de travail (CCT), il ne peut pas être qualifié d'inférieur à la moyenne. Dans un tel cas, il n'y a pas lieu d’appliquer la règle du parallélisme des revenus (arrêt du Tribunal fédéral 8C_677/2021 du 31 janvier 2022 consid. 4.2.2 et les références). 7.2.3 En l’espèce, il faut constater que le salaire sans invalidité pris en considération par l’intimé (CHF 75'141.-) n’est pas inférieur de 5% à celui du revenu statistique usuel de la branche (ligne 41-43), en prenant en compte un niveau de compétence 2 (CHF 73'869.- selon l’ESS 2018). À teneur de la jurisprudence précitée, il convient en effet de se référer en premier lieu aux salaires statistiques pour déterminer si le revenu effectivement réalisé par le recourant avant son invalidité était nettement inférieur aux salaires habituels de la branche et non aux conventions collectives. 7.3 7.3.1 Le recourant a fait valoir, s’agissant du revenu avec invalidité, que l’intimé s’était référé à la ligne 41-43, qui correspondait à la branche de la construction, dans une activité de niveau 2. Or, les statistiques des salaires relevant des professions de la construction n’étaient pas représentatives du salaire qu’il pouvait</w:t>
      </w:r>
    </w:p>
    <w:p>
      <w:r>
        <w:t>A/2930/2022 - 20/23 - gagner avec son atteinte à la santé, puisque la majorité des postes qui y étaient rattachées consistait en des activités professionnelles physiques qui ne lui étaient plus accessibles. Il était donc justifié de prendre en compte la statistique générale de salaire correspondant au total des salaires de toutes les professions pour une activité de niveau 1, soit CHF 5'010.-. Il n’y avait pas lieu de retenir que la profession de technicien en bâtiment était adaptée à ses limitations fonctionnelles, dans la mesure où il ne s’agissait pas que d’une activité de bureau et que cette activité impliquait également un temps important de présence sur les chantiers et des tâches physiques (prendre des mesures, se pencher, s’élever, mesurer en hauteur, etc.). Cela confirmait le fait que la référence à la branche 41-43 n’était pas pertinente. Selon l’intimé, après avoir suivi une formation de dessinateur en bâtiment et informatique, le recourant pouvait mettre en valeur sa capacité de travail dans un métier technique du bâtiment (technicien, conducteur de travaux, suivi de chantier, métreur, activité administrative dans le secteur de la construction). C’était donc à juste titre, qu’il s’était fondé sur le niveau de compétence 2. 7.3.2 Le revenu d'invalide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w:t>
      </w:r>
    </w:p>
    <w:p>
      <w:r>
        <w:t>A/2930/2022 - 21/23 -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respectivement T17 (à partir de 2012) si cela permet de fixer plus précisément le revenu d'invalide et que le secteur en question est adapté et exigible (ATF 133 V 545 et les références citées ; arrêts du Tribunal fédéral 8C_124/2021 du 2 août 2021 consid. 4.4.1 et 8C_111/2021 du 30 avril 2021 consid. 4.2.1 et les références). Le niveau de compétence 2 se rapporte à des tâches pratiques telles que la vente, les soins, le traitement de données et les tâches administratives, l’utilisation de machines et d’appareils électroniques, les services de sécurité et la conduite de véhicules. Le niveau de compétence 1, se rapporte à des tâches physiques ou manuelles simples. Le niveau de compétence 2 a été retenu par le Tribunal fédéral pour un assuré ayant bénéficié de mesures d’ordre professionnel de l’assurance- invalidité (cours de bureautique d’une durée de trois mois, reclassement professionnel d’aide-comptable, au bénéfice d’un diplôme d’aide comptable et d’un stage pratique de 6 mois). Il en a été de même d’un opérateur de station d’épuration souffrant de séquelles d’une pathologie pulmonaire ayant bénéficié d’un reclassement dans la profession de comptable, ayant suivi une formation complète, mais ayant échoué à l’examen final (David IONTA, Fixation du revenu d’invalide selon l’ESS, in : Jusletter 22 octobre 2018 p. 17). Lorsque la personne assurée ne peut pas se réinsérer dans la profession habituelle, l'application du niveau de compétences 2 ne se justifie que si elle dispose de compétences et de connaissances particulières (arrêt 8C_5/2020 du 22 avril 2020 consid. 5.3.2). Plaide en faveur de l'application du niveau de compétences 2, le fait que l’assuré ait une expérience de direction ou qu'il ait exercé avec succès une activité indépendante (arrêts du Tribunal fédéral 8C_737/2020 du 23 juillet 2021 consid. 5.2 et 8C_156/2022 du 29 juin 2022 consid. 7.3). 7.3.3 En l’espèce, dès lors qu’en 2018, le recourant n’avait pas repris une activité adaptée lui permettant de mettre pleinement en valeur sa capacité de travail résiduelle, son revenu d'invalide devait être évalué sur la base des ESS. Dans ce cas, il convient de se fonder, en règle générale, sur les salaires mensuels indiqués dans la table ESS TA1_tirage_skill_level, à la ligne « total secteur privé ». Cela étant, dans le cas du recourant, il se justifiait de se référer à la ligne 41-43 correspondant à des activités dans le secteur de la construction pour une activité</w:t>
      </w:r>
    </w:p>
    <w:p>
      <w:r>
        <w:t>A/2930/2022 - 22/23 - demandant des connaissances administratives et le traitement de données, car avant son atteinte à la santé, il avait travaillé de nombreuses années dans ce domaine et une activité dans un autre domaine n'entrait manifestement pas en ligne de compte, étant relevé que pendant sa période de chômage, il n’a cherché que des emplois dans la construction et qu’il a finalement fondé une entreprise dans ce domaine. 7.3.4 S’agissant du niveau de compétence, le recourant a bénéficié d’une formation de dessinateur en bâtiment et informatique ainsi que d’un stage en entreprise de plus d’un an. Il a en outre de l’expérience dans une activité de contremaître. Il se justifiait en conséquence de prendre en compte un niveau de compétence 2, comme l’a fait l’intimé. 7.4 En conclusion, le taux d’invalidité du recourant doit être recalculé pour la période de janvier 2018 à juin 2021, en tenant compte d’une capacité de travail de 50% dans une activité adaptée (50% de CHF 73'869.-), soit un revenu avec invalidité de CHF 36'934.50 (revenu avec invalidité), avec un abattement de 10% (CHF 33'241.05). En comparant ce revenu au revenu sans invalidité de CHF 75'141.-, le taux d’invalidité est de 55.76%, ce qui ouvre au recourant le droit à une demi-rente d’invalidité du 1er avril 2018 au 31 août 2021, soit trois mois après la prise en compte d’une capacité totale dans une activité adaptée (art. 88a al. 1 phr. 2 RAI). Il sera encore relevé que si le niveau de compétence 1 avait été pris en compte pour déterminer le revenu avec invalidité, soit un revenu annuel de CHF 5'622.-, cela ne changerait pas le résultat, puisque le taux d’invalidité aurait été de 58%. La procédure sera renvoyée à l’intimé pour décision sur le droit du recourant à une rente dès le 1er septembre 2021, suite au commencement de sa nouvelle activité professionnelle en tant qu’indépendant. 7.4.1 Au vu de ce qui précède, le recours est partiellement admis et la décision réformée, dans le sens qui précède. Le recourant obtenant partiellement gain de cause et étant assisté d’un conseil, il a droit à des dépens qui seront fixés à CHF 2'500.- et mis à la charge de l’intimé (art. 61 let. g LPGA). Un émolument de CHF 200.- sera mis à la charge de l’intimé.</w:t>
      </w:r>
    </w:p>
    <w:p>
      <w:r>
        <w:t>A/2930/2022 - 23/23 -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