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ATAS/268/2015 vom 13. April 2015</w:t>
      </w:r>
    </w:p>
    <w:p>
      <w:r>
        <w:t>GE Cour de justice, 2015-04-13, FR</w:t>
      </w:r>
    </w:p>
    <w:p>
      <w:r>
        <w:rPr>
          <w:b/>
        </w:rPr>
        <w:t xml:space="preserve">Quelle: </w:t>
      </w:r>
      <w:r>
        <w:t>https://mcp.opencaselaw.ch/entscheid/ge_gerichte_ATAS_268_2015</w:t>
      </w:r>
    </w:p>
    <w:p>
      <w:r>
        <w:t>FR: GE_GERICHTE ATAS/268/2015 du 13 avril 2015</w:t>
      </w:r>
    </w:p>
    <w:p>
      <w:r>
        <w:t>IT: GE_GERICHTE ATAS/268/2015 del 13 aprile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A/185/2015 - 5/9 -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des indemnités de chômage du recourant pour une durée de 31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w:t>
      </w:r>
    </w:p>
    <w:p>
      <w:r>
        <w:rPr>
          <w:b/>
        </w:rPr>
        <w:t>E. 5</w:t>
      </w:r>
    </w:p>
    <w:p>
      <w:r>
        <w:t>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 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6</w:t>
      </w:r>
    </w:p>
    <w:p>
      <w:r>
        <w:t>La durée de la suspension est proportionnelle à la gravité de la faute de l’assuré et ne peut excéder, par motif de suspension, 60 jours (art. 30 al. 3 LACI). Selon</w:t>
      </w:r>
    </w:p>
    <w:p>
      <w:r>
        <w:t>A/185/2015 - 6/9 - l’art. 45 al. 2 de l’ordonnance fédérale sur l’assurance-chômage du 31 août 1983 (OACI), la durée de la suspension est de 1 à 15 jours en cas de faute légère, de 16 à 30 jours en cas de faute de gravité moyenne et de 31 à 60 jours en cas de faute grave. L’art. 45 al. 4 OACI dispose qu’il y a faute grave lorsque l’assuré abandonne un emploi réputé convenable sans être assuré d’obtenir un nouvel emploi ou lorsqu’il refuse un emploi réputé convenable sans motif valable. Le Tribunal fédéral des assurances a jugé que l'art. 45 al. 3 OACI - dans sa teneur avant le 1er avril 2011, devenu depuis lors art. 45 al. 4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w:t>
      </w:r>
    </w:p>
    <w:p>
      <w:r>
        <w:rPr>
          <w:b/>
        </w:rPr>
        <w:t>E. 9</w:t>
      </w:r>
    </w:p>
    <w:p>
      <w:r>
        <w:t>Eu égard à la situation subjective du recourant et aux circonstances du cas d’espèce, il n’y a aucun motif faisant apparaître la faute de l'assuré comme étant seulement de gravité moyenne ou légère. Dès lors, la suspension du droit à l’indemnité prononcée par l’autorité intimée n’apparaît pas critiquable, puisqu’elle correspond à la durée minimale de la suspension prévue pour une faute grave. Par conséquent, il ne peut être reproché à l'intimé d'avoir excédé son pouvoir d'appréciation. Vu les considérations qui précèdent, le recours est rejeté.</w:t>
      </w:r>
    </w:p>
    <w:p>
      <w:r>
        <w:rPr>
          <w:b/>
        </w:rPr>
        <w:t>E. 10</w:t>
      </w:r>
    </w:p>
    <w:p>
      <w:r>
        <w:t>Pour le surplus, la procédure est gratuite.</w:t>
      </w:r>
    </w:p>
    <w:p>
      <w:r>
        <w:t>A/185/2015 - 9/9 -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