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ATAS/268/2011 vom 17. März 2011</w:t>
      </w:r>
    </w:p>
    <w:p>
      <w:r>
        <w:t>GE Cour de justice, 2011-03-17, FR</w:t>
      </w:r>
    </w:p>
    <w:p>
      <w:r>
        <w:rPr>
          <w:b/>
        </w:rPr>
        <w:t xml:space="preserve">Quelle: </w:t>
      </w:r>
      <w:r>
        <w:t>https://mcp.opencaselaw.ch/entscheid/ge_gerichte_ATAS_268_2011</w:t>
      </w:r>
    </w:p>
    <w:p>
      <w:r>
        <w:t>FR: GE_GERICHTE ATAS/268/2011 du 17 mars 2011</w:t>
      </w:r>
    </w:p>
    <w:p>
      <w:r>
        <w:t>IT: GE_GERICHTE ATAS/268/2011 del 17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Déposé dans les formes et délais légaux (art. 56 à 60 LPGA), il y a lieu de déclarer le recours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w:t>
      </w:r>
    </w:p>
    <w:p>
      <w:r>
        <w:t>A/3774/2009 - 8/13 - 127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21 septembre 2009,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Est litigieux le droit du recourant à une rente entière d’invalidité depuis le mois de janvier 2007.</w:t>
      </w:r>
    </w:p>
    <w:p>
      <w:r>
        <w:rPr>
          <w:b/>
        </w:rPr>
        <w:t>E. 6</w:t>
      </w:r>
    </w:p>
    <w:p>
      <w:r>
        <w:t>Par décision du 21 septembre 2009, l’OAI, fixant le taux d’invalidité du recourant à 32%, a notifié un refus de mesures professionnelles et de rente d’invalidité. Le 20 octobre 2009, l’assuré a interjeté recours contre cette décision.</w:t>
      </w:r>
    </w:p>
    <w:p>
      <w:r>
        <w:rPr>
          <w:b/>
        </w:rPr>
        <w:t>E. 7</w:t>
      </w:r>
    </w:p>
    <w:p>
      <w:r>
        <w:t>Il convient, en l’occurrence, de déterminer le droit aux prestations du recourant, singulièrement à une rente entière d'invalidité.</w:t>
      </w:r>
    </w:p>
    <w:p>
      <w:r>
        <w:rPr>
          <w:b/>
        </w:rPr>
        <w:t>E. 8</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9</w:t>
      </w:r>
    </w:p>
    <w:p>
      <w:r>
        <w:t>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w:t>
      </w:r>
    </w:p>
    <w:p>
      <w:r>
        <w:t>A/3774/2009 - 9/13 - dans la mesure où elles permettent d’évaluer la capacité de travail de l’intéressé dans des activités raisonnablement exigibles (ATF 115 V 133 consid. 2 ; ATFA non publié du 19 avril 2002, I 554/01).</w:t>
      </w:r>
    </w:p>
    <w:p>
      <w:r>
        <w:rPr>
          <w:b/>
        </w:rPr>
        <w:t>E. 10</w:t>
      </w:r>
    </w:p>
    <w:p>
      <w:r>
        <w:t>Selon l’art 28 al. 1 LAI dans sa teneur en vigueur jusqu’au 31 décembre 2003, l’assuré a droit à une rente entière s’il est invalide à 66 2/3 % au moins, à une demi- 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 ATFA non publiés du 17 mai 2005, I 7/05, consid. 2 et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w:t>
      </w:r>
    </w:p>
    <w:p>
      <w:r>
        <w:rPr>
          <w:b/>
        </w:rPr>
        <w:t>E. 11</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w:t>
      </w:r>
    </w:p>
    <w:p>
      <w:r>
        <w:t>A/3774/2009 - 10/13 - qu’une manifestation réactive ne devant pas faire l’objet d’un diagnostic séparé (ATF 130 V 352 consid. 3.3.1 in fine ; MEYER/BLASER, op. cit. p. 81, note 135).</w:t>
      </w:r>
    </w:p>
    <w:p>
      <w:r>
        <w:rPr>
          <w:b/>
        </w:rPr>
        <w:t>E. 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13</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14</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w:t>
      </w:r>
    </w:p>
    <w:p>
      <w:r>
        <w:t>A/3774/2009 - 11/13 -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w:t>
      </w:r>
    </w:p>
    <w:p>
      <w:r>
        <w:rPr>
          <w:b/>
        </w:rPr>
        <w:t>E. 15</w:t>
      </w:r>
    </w:p>
    <w:p>
      <w:r>
        <w:t>En l'occurrence, se trouvent au dossier, des rapports médicaux du Dr L__________, du Dr. M__________, de la Dresse N__________, du Dr. O__________, des avis médicaux du SMR et des certificats médicaux de la Dresse P__________. Le dossier comprend également des rapports du service de réadaptation professionnelle, Madame C__________.</w:t>
      </w:r>
    </w:p>
    <w:p>
      <w:r>
        <w:rPr>
          <w:b/>
        </w:rPr>
        <w:t>E. 16</w:t>
      </w:r>
    </w:p>
    <w:p>
      <w:r>
        <w:t>Le Dr L__________ relève, dans son rapport médical du 28 février 2006, que l’activité exercée par le recourant jusqu’à maintenant est exigible dans la mesure où les conditions de travail sont modifiées. Pour sa part, le Dr M__________ précise qu’il n’y a pas de répercussion directe sur la capacité de l’activité d’enseignement du dessin, par contre le patient présente une anxiété handicapante à l’idée de travailler à nouveau avec des adolescents.</w:t>
      </w:r>
    </w:p>
    <w:p>
      <w:r>
        <w:rPr>
          <w:b/>
        </w:rPr>
        <w:t>E. 17</w:t>
      </w:r>
    </w:p>
    <w:p>
      <w:r>
        <w:t>De leur côté, la Dresse N__________ retient une incapacité de travail de 100% dès janvier 2006 et le Dr O__________ qui pose, en particulier, le diagnostic de trouble dépressif, épisode actuel moyen sans syndrome somatique, mentionne une incapacité de travail à 100%. Toutefois, ce dernier médecin qui répond négativement à la question relative à l’exigibilité de l’activité exercée jusqu’à maintenant, répond positivement à l’exigence d’une autre activité en précisant « en relation avec les compétences du sujet, pas d’activité en contact avec des mineurs » et 8 heures par jour.</w:t>
      </w:r>
    </w:p>
    <w:p>
      <w:r>
        <w:rPr>
          <w:b/>
        </w:rPr>
        <w:t>E. 18</w:t>
      </w:r>
    </w:p>
    <w:p>
      <w:r>
        <w:t>Interpellé par l’OAI et se prononçant sur le rapport du Dr. M__________ et de la Dresse N__________, le SMR relève « On peut suivre les conclusions du psychiatre traitant, lorsqu’il estime non exigible l’activité professionnelle habituelle si elle est exercée avec des mineurs ; on admettra également la pleine CT dans l’activité habituelle exercée avec des adultes ou dans toute autre activité. ».</w:t>
      </w:r>
    </w:p>
    <w:p>
      <w:r>
        <w:rPr>
          <w:b/>
        </w:rPr>
        <w:t>E. 19</w:t>
      </w:r>
    </w:p>
    <w:p>
      <w:r>
        <w:t>Pour sa part, la Dresse P__________ relève, dans son rapport du 1er décembre 2008, qu’en raison d’une symptomatologie anxieuse et d’une incapacité de se rendre dans une école, elle considère que le recourant n’est pas apte à réintégrer la même activité professionnelle et nécessite une mesure de réorientation professionnelle. ».</w:t>
      </w:r>
    </w:p>
    <w:p>
      <w:r>
        <w:rPr>
          <w:b/>
        </w:rPr>
        <w:t>E. 20</w:t>
      </w:r>
    </w:p>
    <w:p>
      <w:r>
        <w:t>Enfin, l’OAI qui a procédé, par l’intermédiaire du SMR, à un examen de l’ensemble des pièces médicales conclut à une capacité de travail exigible à 100%</w:t>
      </w:r>
    </w:p>
    <w:p>
      <w:r>
        <w:t>A/3774/2009 - 12/13 - dans une activité adaptée (ne s’exerçant pas avec des enfants) depuis le mois de septembre 2006.</w:t>
      </w:r>
    </w:p>
    <w:p>
      <w:r>
        <w:rPr>
          <w:b/>
        </w:rPr>
        <w:t>E. 21</w:t>
      </w:r>
    </w:p>
    <w:p>
      <w:r>
        <w:t>Le Tribunal fédéral a rappelé à plusieurs reprises notamment dans un arrêt du 1er mars 2010 (9C_701/2009)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w:t>
      </w:r>
    </w:p>
    <w:p>
      <w:r>
        <w:rPr>
          <w:b/>
        </w:rPr>
        <w:t>E. 22</w:t>
      </w:r>
    </w:p>
    <w:p>
      <w:r>
        <w:t>En l’espèce, il ressort des éléments du dossier que le recourant peut reprendre une activité professionnelle comme enseignant pour adultes. Bien qu’il affirme qu’il n’existe pas de poste vacant sur le marché du travail, il y a lieu de constater que, lors de la comparution personnelle, le recourant a indiqué qu’il n'avait pas entrepris des démarches auprès des écoles privées et que l'absence de ces démarches s'expliquait par le fait qu'il y avait très peu d'adultes dans les écoles privées, que les avantages de la fonction publique n'existaient pas dans ce domaine, que le salaire était effectivement différent et enfin que le marché était "sec". En vertu du principe de diminuer le dommage qui prime aussi bien le droit à une rente que celui à des mesures de réadaptation, le Tribunal retiendra le fait que le recourant aurait dû faire preuve de bonne volonté et tout entreprendre pour atténuer les conséquences de son invalidité, en engageant notamment des démarches auprès de écoles privées. Enfin, il sied de relever que, conformément à la jurisprudence précitée, il n’appartient pas à l’assurance-invalidité d’examiner si un invalide peut être placé eu égard aux conditions concrètes du marché du travail.</w:t>
      </w:r>
    </w:p>
    <w:p>
      <w:r>
        <w:rPr>
          <w:b/>
        </w:rPr>
        <w:t>E. 23</w:t>
      </w:r>
    </w:p>
    <w:p>
      <w:r>
        <w:t>En conclusion, la Cour de céans retiendra que le recourant a une pleine capacité de travail dans un activité adaptée, à savoir en qualité d’enseignant pour des adultes. Partant, le recours ne peut être que rejeté et la décision litigieuse confirmée.</w:t>
      </w:r>
    </w:p>
    <w:p>
      <w:r>
        <w:rPr>
          <w:b/>
        </w:rPr>
        <w:t>E. 24</w:t>
      </w:r>
    </w:p>
    <w:p>
      <w:r>
        <w:t>Il sera, en l’état, renoncé à la perception d'un émolument.</w:t>
      </w:r>
    </w:p>
    <w:p>
      <w:r>
        <w:t>A/3774/2009 - 13/13 -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