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ATAS/267/2025 vom 16. April 2025</w:t>
      </w:r>
    </w:p>
    <w:p>
      <w:r>
        <w:t>GE Cour de justice, 2025-04-16, FR</w:t>
      </w:r>
    </w:p>
    <w:p>
      <w:r>
        <w:rPr>
          <w:b/>
        </w:rPr>
        <w:t xml:space="preserve">Quelle: </w:t>
      </w:r>
      <w:r>
        <w:t>https://mcp.opencaselaw.ch/entscheid/ge_gerichte_ATAS_267_2025</w:t>
      </w:r>
    </w:p>
    <w:p>
      <w:r>
        <w:t>FR: GE_GERICHTE ATAS/267/2025 du 16 avril 2025</w:t>
      </w:r>
    </w:p>
    <w:p>
      <w:r>
        <w:t>IT: GE_GERICHTE ATAS/267/2025 del 16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A/2983/2024 - 13/22 - En l’occurrence, un éventuel droit à une rente d’invalidité naîtrait au plus tôt fin 2022, soit six mois après le dépôt de la demande d’avril 2022 (cf. art. 29 al. 1 LAI), de sorte que les dispositions légales applicables seront citées dans leur nouvelle teneur.</w:t>
      </w:r>
    </w:p>
    <w:p>
      <w:r>
        <w:rPr>
          <w:b/>
        </w:rPr>
        <w:t>E. 2</w:t>
      </w:r>
    </w:p>
    <w:p>
      <w:r>
        <w:t>Le litige porte sur le droit de la recourante à une rente d’invalidité.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 139 V 176 consid. 5.3 et les références). Aussi n’existe-t-il pas, en droit des assurances sociales, un principe selon lequel l’administration ou le juge devrait</w:t>
      </w:r>
    </w:p>
    <w:p>
      <w:r>
        <w:t>A/2983/2024 - 16/22 - statuer, dans le doute, en faveur de l’assuré (ATF 135 V 39 consid. 6.1 et la référence).</w:t>
      </w:r>
    </w:p>
    <w:p>
      <w:r>
        <w:rPr>
          <w:b/>
        </w:rPr>
        <w:t>E. 3.3.1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A/2983/2024 - 14/22 -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3.3.2.2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3.3.2.3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w:t>
      </w:r>
    </w:p>
    <w:p>
      <w:r>
        <w:t>A/2983/2024 - 15/22 -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3.3.2.4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3.3.2.5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3.5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(selon un système de classification reconnu)</w:t>
      </w:r>
    </w:p>
    <w:p>
      <w:r>
        <w:t>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5 avril 2016 ? (décision de l’OAI)</w:t>
      </w:r>
    </w:p>
    <w:p>
      <w:r>
        <w:rPr>
          <w:b/>
        </w:rPr>
        <w:t>E. 4.5</w:t>
      </w:r>
    </w:p>
    <w:p>
      <w:r>
        <w:t>Dans quelle mesure les atteintes diagnostiquées limitent-elles les fonctions nécessaires à la gestion du quotidien ? (N’inclure que les déficits fonctionnels émanant des observations qui ont été déterminantes</w:t>
      </w:r>
    </w:p>
    <w:p>
      <w:r>
        <w:t>A/2983/2024 - 19/22 -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5.3</w:t>
      </w:r>
    </w:p>
    <w:p>
      <w:r>
        <w:t>Existe-t-il des limitations fonctionnelles neuropsychologiques ? Si oui, veuillez les détailler.</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t>A/2983/2024 - 20/22 -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 (au besoin en utilisant les items de la mini-CIF)</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le 5 avril 2016 ?</w:t>
      </w:r>
    </w:p>
    <w:p>
      <w:r>
        <w:rPr>
          <w:b/>
        </w:rPr>
        <w:t>E. 9.5</w:t>
      </w:r>
    </w:p>
    <w:p>
      <w:r>
        <w:t>Des mesures médicales sont-elles nécessaires préalablement à la reprise d’une activité lucrative ? Si oui, lesquelles ?</w:t>
      </w:r>
    </w:p>
    <w:p>
      <w:r>
        <w:t>A/2983/2024 - 21/22 -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l'expertise du Dr Q______ du 16 avril 2024 ? En particulier avec l’absence de tout diagnostic psychiatrique ? Si non, pourquoi ?</w:t>
      </w:r>
    </w:p>
    <w:p>
      <w:r>
        <w:rPr>
          <w:b/>
        </w:rPr>
        <w:t>E. 11.2</w:t>
      </w:r>
    </w:p>
    <w:p>
      <w:r>
        <w:t>Êtes-vous d’accord avec l’avis de la Dre M______ et de la psychologue H______ du 6 décembre 2021 ? En particulier avec les diagnostics posés, les limitations fonctionnelles constatées et l’estimation d’une capacité de travail nulle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A. Ordonne un examen neuropsychologique, comprenant un test de validation des performances et la réponse aux questions suivantes : 1. Quelle est la gravité de l’éventuel trouble neuropsychologique ? 2. Quelles sont les limitations fonctionnelles ? 3. Quelle est la capacité de travail dans l’activité habituelle et dans une activité adaptée, compte tenu des limitations neuropsychologiques ? B. Commet à cette fin U______, MAS en neuropsychologie clinique. C. Invite U______ à communiquer, dans les meilleurs délais, son rapport à la chambre de céans et au Dr T______. III. Invite l’expert à déposer, dans les meilleurs délais, son rapport en trois exemplaires auprès de la chambre de céans. IV. Réserve le fond ainsi que le sort des frais jusqu’à droit jugé au fond.</w:t>
      </w:r>
    </w:p>
    <w:p>
      <w:r>
        <w:t>A/2983/2024 - 22/22 -</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