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ATAS/267/2022 vom 24. März 2022</w:t>
      </w:r>
    </w:p>
    <w:p>
      <w:r>
        <w:t>GE Cour de justice, 2022-03-24, FR</w:t>
      </w:r>
    </w:p>
    <w:p>
      <w:r>
        <w:rPr>
          <w:b/>
        </w:rPr>
        <w:t xml:space="preserve">Quelle: </w:t>
      </w:r>
      <w:r>
        <w:t>https://mcp.opencaselaw.ch/entscheid/ge_gerichte_ATAS_267_2022</w:t>
      </w:r>
    </w:p>
    <w:p>
      <w:r>
        <w:t>FR: GE_GERICHTE ATAS/267/2022 du 24 mars 2022</w:t>
      </w:r>
    </w:p>
    <w:p>
      <w:r>
        <w:t>IT: GE_GERICHTE ATAS/267/2022 del 24 marzo 2022</w:t>
      </w:r>
    </w:p>
    <w:p>
      <w:pPr>
        <w:pStyle w:val="Heading2"/>
      </w:pPr>
      <w:r>
        <w:t>Erwägungen</w:t>
      </w:r>
    </w:p>
    <w:p>
      <w:r>
        <w:rPr>
          <w:b/>
        </w:rPr>
        <w:t>E. 4</w:t>
      </w:r>
    </w:p>
    <w:p>
      <w:r>
        <w:t>Dans la mesure où elle porte sur les prestations perçues à tort entre le 1er novembre 2019 et le 31 mai 2020, soit sur une période antérieure à l'entrée en vigueur, le 1er janvier 2021, des modifications des 22 mars, 20 décembre 2019 et 14 octobre 2020, la demande de restitution est soumise à l'ancien droit, en l'absence de dispositions transitoires prévoyant une application rétroactive du nouveau droit. Les dispositions légales seront donc citées ci-après dans leur teneur en vigueur jusqu'au 31 décembre 2020.</w:t>
      </w:r>
    </w:p>
    <w:p>
      <w:r>
        <w:rPr>
          <w:b/>
        </w:rPr>
        <w:t>E. 5</w:t>
      </w:r>
    </w:p>
    <w:p>
      <w:r>
        <w:t>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w:t>
      </w:r>
    </w:p>
    <w:p>
      <w:r>
        <w:rPr>
          <w:b/>
        </w:rPr>
        <w:t>E. 6</w:t>
      </w:r>
    </w:p>
    <w:p>
      <w:r>
        <w:t>Le litige porte sur le droit du recourant de bénéficier d’une remise de l’obligation de restituer la somme de CHF 26'221.80 à l’intimé.</w:t>
      </w:r>
    </w:p>
    <w:p>
      <w:r>
        <w:rPr>
          <w:b/>
        </w:rPr>
        <w:t>E. 7</w:t>
      </w:r>
    </w:p>
    <w:p>
      <w:r>
        <w:t>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In casu, la décision de restitution du SPC du 14 septembre 2020 est entrée en force. La chambre de céans peut dès lors entrer en matière sur la demande de remise.</w:t>
      </w:r>
    </w:p>
    <w:p>
      <w:r>
        <w:rPr>
          <w:b/>
        </w:rPr>
        <w:t>E. 8.1</w:t>
      </w:r>
    </w:p>
    <w:p>
      <w:r>
        <w:t>S'agissant des prestations complémentaires fédérales, selon l’art. 25 al. 1 LPGA, les prestations indûment touchées doivent être restituées. La restitution ne peut être exigée lorsque l’intéressé était de bonne foi et qu’elle le mettrait dans une situation difficile. L’art. 4 de l'ordonnance sur la partie générale du droit des assurances sociales du</w:t>
      </w:r>
    </w:p>
    <w:p>
      <w:r>
        <w:rPr>
          <w:b/>
        </w:rPr>
        <w:t>E. 8.2</w:t>
      </w:r>
    </w:p>
    <w:p>
      <w:r>
        <w:t>Au niveau cantonal, l'art. 24 al. 1 1ère phrase LPCC prévoit que les prestations indûment touchées doivent être restituées. La restitution ne peut être exigée lorsque l'intéressé était de bonne foi et qu'elle le mettrait dans une situation difficile.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9.</w:t>
      </w:r>
    </w:p>
    <w:p>
      <w:r>
        <w:t>9.1 La question de savoir si la condition de la bonne foi, présumée en règle générale (art. 3 du Code civil suisse, du 10 décembre 1907 [CC - RS 210]), est réalisée doit être examinée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9.2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w:t>
      </w:r>
    </w:p>
    <w:p>
      <w:r>
        <w:t>A/2021/2021 - 6/9 - 9.3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9.4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 La condition de la bonne foi a notamment été niée dans le cas d’un bénéficiaire de prestations complémentaires qui avait passé sous silence l’augmentation du revenu de son épouse (arrêt du Tribunal fédéral des assurances P 17/03 du 3 février 2004 consid. 4.1) ou dans celui d’un assuré qui n’avait pas communiqué les revenus liés à sa nouvelle activité salariée (arrêt du Tribunal fédéral des assurances P 32/06 du 14 novembre 2006 consid. 4.3.). De jurisprudence constante, la condition de la bonne foi doit être réalisée dans la période pendant laquelle ont été versées les prestations indues dont la restitution est exigée (arrêt du Tribunal fédéral 8C_766/2007 du 17 avril 2008 consid. 4.1 et les références citées). En règle générale, les bénéficiaires peuvent se prévaloir de leur bonne foi lorsqu’ils se sont conformés à leur obligation de renseigner ou</w:t>
      </w:r>
    </w:p>
    <w:p>
      <w:r>
        <w:t>A/2021/2021 - 7/9 - d’annoncer et à leurs autres devoir légaux de collaboration (Ulrich MEYER- BLASER, Die Rückerstattung von Sozial-versicherungsleistungen, ZBJV 1995 p. 4). 10.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l’espèce, l’intimé a rejeté la demande de remise déposée par le recourant au motif que la condition de la bonne foi n’était pas remplie dès lors que ce dernier avait omis d’informer le SPC de son incarcération, ce qui avait conduit le SPC à continuer de verser les prestations complémentaires mensuelles, sur le compte bancaire du recourant. De son côté, le recourant justifie son omission de renseigner le SPC par le fait qu’il aurait été empêché d’envoyer et de recevoir du courrier pendant qu’il était détenu à la prison de Champ-Dollon. Le recourant n’invoque pas l’ignorance de son devoir d’informer, pas plus qu’une situation particulière dans laquelle il aurait eu à s’occuper de tâches prioritaires l’obligeant à mettre de côté son obligation d’informer. Le motif invoqué tient au fait qu’il aurait fait l’objet de mesures de contrainte de la part du personnel de la prison de Champ-Dollon et/ou du Ministère public de Genève qui l’auraient empêché d’informer le SPC. Selon la directive du Ministère public sur la détention (Directive du procureur général C2, ch. 11.2 et 11.3), durant la détention pour des motifs de sûreté, la direction de la procédure est compétente pour statuer sur les autorisations de visite et de téléphone (art. 235 al. 2 du code de procédure pénale suisse du 5 octobre 2007 [CPP - RS 312.0]). En revanche, le Ministère public reste en charge du</w:t>
      </w:r>
    </w:p>
    <w:p>
      <w:r>
        <w:t>A/2021/2021 - 8/9 - contrôle du courrier (art. 235 al. 3 CPP et Convention de délégation générale du contrôle du courrier du 30 janvier 2013, conclue entre la Cour de justice, le Tribunal pénal et le Ministère public). Lorsqu'un prévenu est placé en exécution anticipée d'une peine ou d'une mesure (art. 236 CPP), l'autorité d'exécution est compétente pour surveiller les contacts entre le prévenu et les tiers (art. 236 al. 4 CPP et 84 du Code pénal suisse du 21 décembre 1937 [CP - RS 311.0]). Il ressort du courrier du 25 février 2022, établi par le greffe de la prison de Champ-Dollon, que le recourant avait la possibilité, sous la réserve de l’éventuelle censure du courrier effectuée par la direction de la procédure, de recevoir et d’envoyer son courrier sans limitations. En dehors des allégations du recourant, aucun élément au dossier ne permet de supposer que ce dernier aurait été entravé dans sa possibilité d’informer le SPC de son incarcération. Étant encore précisé que le recourant pouvait, de surcroit, bénéficier de l’assistance de son avocat. Dès lors, l’argument invoqué par le recourant pour justifier son silence ne peut pas être retenu.</w:t>
      </w:r>
    </w:p>
    <w:p>
      <w:r>
        <w:rPr>
          <w:b/>
        </w:rPr>
        <w:t>E. 13</w:t>
      </w:r>
    </w:p>
    <w:p>
      <w:r>
        <w:t>À l’aune de ce qui précède, la chambre de céans n’a d’autre choix que de rejeter le recours.</w:t>
      </w:r>
    </w:p>
    <w:p>
      <w:r>
        <w:rPr>
          <w:b/>
        </w:rPr>
        <w:t>E. 14</w:t>
      </w:r>
    </w:p>
    <w:p>
      <w:r>
        <w:t>Pour le surplus, en l’absence de loi spéciale prévoyant des frais judiciaires, la procédure est gratuite (art. 61 let. fbis LPGA en lien avec l’art. 1 al. 1 de la loi fédérale sur l'assurance-chômage obligatoire et l'indemnité en cas d'insolvabilité du 25 juin 1982 [loi sur l’assurance-chômage, LACI - RS 837.0]).</w:t>
      </w:r>
    </w:p>
    <w:p>
      <w:r>
        <w:t>A/2021/2021 - 9/9 -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