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ATAS/267/2020 vom 6. April 2020</w:t>
      </w:r>
    </w:p>
    <w:p>
      <w:r>
        <w:t>GE Cour de justice, 2020-04-06, FR</w:t>
      </w:r>
    </w:p>
    <w:p>
      <w:r>
        <w:rPr>
          <w:b/>
        </w:rPr>
        <w:t xml:space="preserve">Quelle: </w:t>
      </w:r>
      <w:r>
        <w:t>https://mcp.opencaselaw.ch/entscheid/ge_gerichte_ATAS_267_2020</w:t>
      </w:r>
    </w:p>
    <w:p>
      <w:r>
        <w:t>FR: GE_GERICHTE ATAS/267/2020 du 6 avril 2020</w:t>
      </w:r>
    </w:p>
    <w:p>
      <w:r>
        <w:t>IT: GE_GERICHTE ATAS/267/2020 del 6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w:t>
      </w:r>
    </w:p>
    <w:p>
      <w:r>
        <w:t>A/2961/2019 - 5/12 - S’agissant des prestations complémentaires cantonales, l’art. 43 LPCC ouvre les mêmes voies de droit. Interjeté dans les forme et délai légaux, le recours est recevable.</w:t>
      </w:r>
    </w:p>
    <w:p>
      <w:r>
        <w:rPr>
          <w:b/>
        </w:rPr>
        <w:t>E. 3</w:t>
      </w:r>
    </w:p>
    <w:p>
      <w:r>
        <w:t>La décision querellée exige la restitution des prestations complémentaires indûment versées selon le nouveau calcul de l’intimé. Le litige porte sur le point de savoir si d’une part, le nouveau calcul de l’intimé, en particulier s’agissant du gain hypothétique imputé à l’époux de la recourante d’août 2012 à juin 2016, est conforme au droit, et d’autre part si l’intimé est fondé à exiger la restitution de prestations déjà versées.</w:t>
      </w:r>
    </w:p>
    <w:p>
      <w:r>
        <w:rPr>
          <w:b/>
        </w:rPr>
        <w:t>E. 4</w:t>
      </w:r>
    </w:p>
    <w:p>
      <w:r>
        <w:t>Au plan formel, la chambre de céans relève que la décision de l’intimé du 13 février 2018, sujette à opposition, portait sur le droit aux prestations de la recourante du 1er août 2012 au 28 février 2018. Dans sa décision sur opposition, qui fait l’objet du présent recours, l’intimé a étendu son calcul aux prestations dues jusqu’au 31 octobre 2018. Or, l'art. 52 al. 1 LPGA prévoit que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Cette procédure est caractérisée par le fait que la même instance doit statuer une nouvelle fois dans la même cause (arrêt du Tribunal fédéral des assurances C 279/03 du 30 septembre 2005 consid. 2.2.2). La procédure d'opposition porte sur les rapports juridiques qui, d'une part, font l'objet de la décision initiale de l'autorité et à propos desquels, d'autre part, l'opposant manifeste son désaccord, implicitement ou explicitement. Si la décision initiale ne porte que sur un seul rapport juridique, celui-ci constitue également l'objet de la procédure d'opposition. En cas de recours ultérieur à un juge, ce rapport juridique constitue également l'objet du litige dont il a à connaître (arrêt du Tribunal fédéral des assurances I 664/03 du 19 novembre 2004 consid. 2.3). Le juge appelé à connaître de la légalité d'une décision rendue par les organes de l'assurance sociale doit certes apprécier l'état de fait déterminant jusqu’au moment où la décision sur opposition litigieuse a été rendue (ATF 131 V 407 consid. 2.1.2.1). Cependant,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La solution contraire impliquerait potentiellement une violation du droit d'être entendu des bénéficiaires (arrêt du Tribunal fédéral 9C_777/2013 du 13 février 2014 consid. 5.2.2).</w:t>
      </w:r>
    </w:p>
    <w:p>
      <w:r>
        <w:t>A/2961/2019 - 6/12 - En l’espèce, en rendant une décision sur opposition sur un état de fait sur lequel la recourante n'a pas eu l'occasion de se prononcer, à savoir le droit aux prestations complémentaires versées du 1er mars au 31 octobre 2018, l’intimé l’a privée de la possibilité de formuler une opposition pour cette période, ne lui laissant que le choix d'interjeter un recours devant la chambre de céans. Le procédé de l’intimé, consistant à étendre temporellement l’objet du litige entre sa décision sujette à opposition et sa décision du 19 juin 2019, ne respecte ainsi pas les exigences en matière de droit d’être entendu de la recourante.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Conformément à l’art. 9 al. 2 1ère phrase LPC, les dépenses reconnues et les revenus déterminants des conjoints et des personnes qui ont des enfants ayant droit à une rente d'orphelin ou donnant droit à une rente pour enfant de l'AVS ou de l'AI sont additionnés. L’art. 4 LPCC dispose qu’ont droit aux prestations complémentaires cantonales les personnes dont le revenu annuel déterminant n’atteint pas le revenu minimum cantonal d’aide sociale applicable. Au niveau fédéral, les revenus déterminants comprennent, notamment, les ressources et parts de fortune dont un ayant droit s’est dessaisi (art. 11 al. 1 let. g LPC). Au plan cantonal, l’art. 5 LPCC renvoie à la réglementation fédérale pour le calcul du revenu déterminant, sous réserve de l’ajout des prestations complémentaires fédérales au revenu déterminant ainsi que d’autres adaptations, non pertinentes en l’espèce.</w:t>
      </w:r>
    </w:p>
    <w:p>
      <w:r>
        <w:rPr>
          <w:b/>
        </w:rPr>
        <w:t>E. 6</w:t>
      </w:r>
    </w:p>
    <w:p>
      <w:r>
        <w:t>L’art. 14a de l’ordonnance sur les prestations complémentaires à l’assurance- vieillesse, survivants et invalidité du 15 janvier 1971 (OPC-AVS/AI - RS 831.301) dispose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w:t>
      </w:r>
    </w:p>
    <w:p>
      <w:r>
        <w:t>A/2961/2019 - 7/12 - maximum destiné à la couverture des besoins vitaux selon la let. a, pour un taux d’invalidité de 60 à moins de 70 % (let. c) (al. 2). Lorsque le montant indiqué à l'art. 14a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ATF 140 V 267 consid. 2.2;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w:t>
      </w:r>
    </w:p>
    <w:p>
      <w:r>
        <w:rPr>
          <w:b/>
        </w:rPr>
        <w:t>E. 7</w:t>
      </w:r>
    </w:p>
    <w:p>
      <w:r>
        <w:t>L’art. 25 al. 1 OPC-AVS/AI prévoit notamment que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En vertu de l’alinéa deuxième de cette disposition,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L’art. 25 al. 4 OPC-AVS/AI précise que si une prestation complémentaire en cours doit être réduite, en raison de la prise en compte d’un revenu minimum au sens des art. 14a al. 2 et 14b, la réduction ne pourra avoir lieu avant l’écoulement d’un délai de six mois dès la notification de la décision afférente. Les directives concernant les prestations complémentaires à l’AVS et à l’AI (DPC) éditées par l’OFAS dans leur version dès le 1er janvier 2018 précisent que la</w:t>
      </w:r>
    </w:p>
    <w:p>
      <w:r>
        <w:t>A/2961/2019 - 8/12 - réduction d’une prestation complémentaire en cours, due à la prise en compte d’un revenu minimum conformément à l’art. 14a OPC-AVS/AI, ne prend effet que six mois après la notification de la décision correspondante. Ainsi, ce n’est pas la date de la décision qui est déterminante, mais la date de la notification. Le délai de six mois ne s’applique pas aux prestations complémentaires accordées rétroactivement (ch. 3424.11). Dans le cas d’une révision du calcul des prestations complémentaires liées à l’octroi avec effet rétroactif d’une rente de la prévoyance professionnelle, le Tribunal fédéral a retenu que l’obligation de restituer les prestations complémentaires indûment perçues n’est pas liée à une violation de l'obligation de renseigner, mais qu’il s’agit simplement de rétablir l'ordre légal, après la découverte du fait nouveau, et que les lettres c et d de l'art. 25 al. 2 OPC-AVS/AI ne s'appliquent pas en pareille hypothèse. La rente de la prévoyance professionnelle était certes un élément de revenu inconnu au moment de la décision, mais qui aurait dû être pris en compte parce qu'il existait déjà, au moins sous forme de créance ou de prétention, hypothèse qui n'est pas visée par cette disposition (ATF 122 V 134 consid. 2e). Le Tribunal fédéral a par la suite confirmé que la révision du calcul des prestations complémentaires résultant de l’octroi avec effet rétroactif d’une rente de l’assurance-accidents ne relève pas d’une révision des prestations complémentaires dictée par un changement de circonstances au sens de l’art. 25 OPC-AVS/AI, et que cette disposition ne s’applique donc pas (arrêt du Tribunal fédéral des assurances P 34/05 du 4 décembre 2005 consid. 3.3). Enfin, dans un arrêt récent, notre Haute Cour a précisé que l’art. 25 al. 4 OPC-AVS/AI ne s’applique pas à la révision du droit aux prestations complémentaires à la suite de l’octroi rétroactif d’une rente d’invalidité à l’épouse du bénéficiaire des prestations, en reprenant l’argumentation développée dans la jurisprudence précitée (arrêt du Tribunal fédéral 9C_293/2018 du 16 août 2018 consid. 6.2).</w:t>
      </w:r>
    </w:p>
    <w:p>
      <w:r>
        <w:rPr>
          <w:b/>
        </w:rPr>
        <w:t>E. 8</w:t>
      </w:r>
    </w:p>
    <w:p>
      <w:r>
        <w:t>En vertu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1er LPGA) de la décision par laquelle les prestations ont été accordées.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t>A/2961/2019 - 9/12 -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 Selon l’art. 28 LPCC, les restitutions prévues à l’art. 24 peuvent être demandées par l'Etat dans un délai d'une année à compter de la connaissance du fait qui ouvre le droit à la restitution, mais au plus tard cinq ans après le versement de la prestation. L’art. 38 al. 3 LPCC arrête qu’en cas de modification de la situation économique ou personnelle, le service rend sa décision dans un délai de 60 jours dès réception de l'annonce du changement par l'ayant droit, ses proches ou les tiers auxquels une prestation est versée. Le SPC ne peut pas réclamer le remboursement des prestations versées indûment pendant la période dépassant ce délai. L’octroi rétroactif d’une rente est un motif de révision procédurale au sens de l’art. 53 al. 1 LPGA (arrêt du Tribunal fédéral 9C_341/2017 du 27 septembre 2017 consid. 4.1).</w:t>
      </w:r>
    </w:p>
    <w:p>
      <w:r>
        <w:rPr>
          <w:b/>
        </w:rPr>
        <w:t>E. 9</w:t>
      </w:r>
    </w:p>
    <w:p>
      <w:r>
        <w:t>En ce qui concerne la compensation, la décision de l'assurance-invalidité – ou de la caisse de compensation – sur le paiement direct à une assurance ne concerne que les modalités du versement, de sorte qu'elle ne déploie aucune force de chose décidée en ce qui concerne le bien-fondé et le montant de la créance en restitution (arrêt du Tribunal fédéral 9C_287/2014 du 16 juin 2014 consid. 2.2 et les références). Les objections contre le montant de la créance invoquée en compensation doivent être dirigées directement contre l'organisme qui a fait valoir la compensation (arrêt du Tribunal fédéral 9C_225/2014 du 10 juillet 2014 consid. 3.3.1) Au plan fédéral,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l'Etat découlant de la loi peuvent être compensées, à due concurrence, avec des prestations échues. On peut préciser ici que la compensation est subordonnée à la condition que deux personnes soient réciproquement créancières et débitrices l'une de l'autre conformément à la règle posée par l'art. 120 al. 1 du Code des obligations (CO - RS 220) (ATF 128 V 224 consid. 3b). La réciprocité des sujets de droit n’est cependant pas absolue, et la possibilité de compenser s'écarte de l'art. 120 al. 1 CO quand les créances opposées</w:t>
      </w:r>
    </w:p>
    <w:p>
      <w:r>
        <w:t>A/2961/2019 - 10/12 - en compensation se trouvent en relation étroite, du point de vue de la technique d'assurance ou du point de vue juridique. Dans ces situations, il n'est pas nécessaire que l'assuré soit en même temps créancier et débiteur de l'administration (ATF 130 V 505 consid. 2.4). La jurisprudence a ainsi admis que des prestations complémentaires indûment versées à un bénéficiaire pouvaient être compensées avec des rentes allouées rétroactivement à son conjoint (arrêt du Tribunal fédéral des assurances I 728/01 du 9 mai 2003 consid. 6.2.2). Toutefois, l'extinction de la créance en restitution par voie de compensation ne peut intervenir qu'une fois qu'il a été statué définitivement sur la restitution et sur une éventuelle demande de remise - sauf exception non réalisée en l’espèce (arrêt du Tribunal fédéral 8C_130/2008 du 11 juillet 2008 consid. 3.2). En outre,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w:t>
      </w:r>
    </w:p>
    <w:p>
      <w:r>
        <w:rPr>
          <w:b/>
        </w:rPr>
        <w:t>E. 10</w:t>
      </w:r>
    </w:p>
    <w:p>
      <w:r>
        <w:t>Dans le cas d’espèce, il convient en préambule de souligner que la compensation requise par l’intimé est en toute hypothèse prématurée. De plus, on ignore si elle porte atteinte au minimum vital de la recourante, l’intimé n’ayant apparemment pas examiné cette question. Malgré ce qui précède, sur le principe, l’intimé était fondé à revenir sur le calcul des prestations versées à la recourante à la suite de l’octroi d’un trois quarts de rente à l’époux de cette dernière. Sa décision de restitution est en outre intervenue moins d’une année après l’octroi de la rente justifiant le nouveau calcul. Cela étant, cette décision porte sur les prestations versées dès le 1er août 2012. Or, le délai quinquennal absolu prévu par l’art. 25 al. 2 LPGA – étant souligné qu’il n’est à juste titre pas allégué qu’un délai de prescription plus long découlant du droit pénal serait applicable en l’espèce – limite la possibilité d’exiger la restitution de prestations à celles versées dans les cinq ans qui précèdent, soit celles servies dès le 1er mars 2013. Ainsi, la décision de l’intimé doit être annulée en tant qu’elle exige la restitution des prestations versées du 1er août 2012 au 28 février 2013. S’agissant du calcul des prestations dès cette date, eu égard à la jurisprudence citée (consid. 7 supra), l’argumentation de la recourante, selon laquelle un gain potentiel pour son époux ne peut être pris en compte avant l’écoulement d’un délai de six mois après la décision litigieuse, tombe manifestement à faux. En revanche, l’intimé n’a guère examiné les possibilités pour l’époux de la recourante de mettre en valeur sa capacité résiduelle de gain sur le marché du travail. Certes, la recourante n’avance aucun élément afin de renverser la</w:t>
      </w:r>
    </w:p>
    <w:p>
      <w:r>
        <w:t>A/2961/2019 - 11/12 - présomption ancrée à l’art. 14a al. 2 let. a à c OPC-AVS/AI, dès lors qu’elle argue que la prise en compte d’un tel gain est tout simplement exclue par les dispositions topiques. Cela étant, il ressort du dossier que l’époux de la recourante était inscrit à l’assurance-chômage en 2008, soit avant même que son invalidité partielle ne soit reconnue, ce qui démontre déjà des difficultés à se réinsérer professionnellement. En outre, en mars 2013, il avait atteint un âge relativement élevé du point de vue du marché du travail, et son état de santé s’était dégradé dans l’intervalle. Compte tenu de ces éléments, et à défaut d’examen concret des postes existant sur le marché du travail et correspondant à ses aptitudes et à ses limitations, on ne saurait admettre sans réserve la présomption selon laquelle il aurait été en mesure de réaliser un revenu. Partant, la cause sera renvoyée à l’intimé, à charge pour ce dernier d’examiner ce point et de rendre une nouvelle décision. Dans ce cadre, il sera fondé à étendre temporellement l’objet du litige au calcul des prestations du 1er mars au 31 octobre 2018, si la recourante y consent.</w:t>
      </w:r>
    </w:p>
    <w:p>
      <w:r>
        <w:rPr>
          <w:b/>
        </w:rPr>
        <w:t>E. 11</w:t>
      </w:r>
    </w:p>
    <w:p>
      <w:r>
        <w:t>Eu égard à ce qui précède, le recours est partiellement admis. La recourante a droit à des dépens, qui seront fixés à CHF 2'000.- (art. 61 let. g LPGA). Pour le surplus, la procédure est gratuite (art. 61 let. a LPGA).</w:t>
      </w:r>
    </w:p>
    <w:p>
      <w:r>
        <w:t>A/2961/2019 - 12/12 -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