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ATAS/266/2010 vom 4. März 2010</w:t>
      </w:r>
    </w:p>
    <w:p>
      <w:r>
        <w:t>GE Cour de justice, 2010-03-04, FR</w:t>
      </w:r>
    </w:p>
    <w:p>
      <w:r>
        <w:rPr>
          <w:b/>
        </w:rPr>
        <w:t xml:space="preserve">Quelle: </w:t>
      </w:r>
      <w:r>
        <w:t>https://mcp.opencaselaw.ch/entscheid/ge_gerichte_ATAS_266_2010</w:t>
      </w:r>
    </w:p>
    <w:p>
      <w:r>
        <w:t>FR: GE_GERICHTE ATAS/266/2010 du 4 mars 2010</w:t>
      </w:r>
    </w:p>
    <w:p>
      <w:r>
        <w:t>IT: GE_GERICHTE ATAS/266/2010 del 4 marzo 2010</w:t>
      </w:r>
    </w:p>
    <w:p>
      <w:pPr>
        <w:pStyle w:val="Heading2"/>
      </w:pPr>
      <w:r>
        <w:t>Erwägungen</w:t>
      </w:r>
    </w:p>
    <w:p>
      <w:r>
        <w:rPr>
          <w:b/>
        </w:rPr>
        <w:t>E. 1</w:t>
      </w:r>
    </w:p>
    <w:p>
      <w:r>
        <w:t>L’objet du recours ressortit à la loi fédérale sur l'assurance-invalidité du 19 juin 1959 (LAI), si bien que le Tribunal de céans est matériellement compétent pour statuer en l’espèce (art. 56 V al. 1 let. a ch. 2 de la loi genevoise sur l'organisation judiciaire).</w:t>
      </w:r>
    </w:p>
    <w:p>
      <w:r>
        <w:rPr>
          <w:b/>
        </w:rPr>
        <w:t>E. 2</w:t>
      </w:r>
    </w:p>
    <w:p>
      <w:r>
        <w:t>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 6 octobre 2000 : LPGA).</w:t>
      </w:r>
    </w:p>
    <w:p>
      <w:r>
        <w:rPr>
          <w:b/>
        </w:rPr>
        <w:t>E. 3</w:t>
      </w:r>
    </w:p>
    <w:p>
      <w:r>
        <w:t>Le litige porte sur le droit du recourant à une rente de l'assurance-invalidité.</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w:t>
      </w:r>
    </w:p>
    <w:p>
      <w:r>
        <w:t>A/3399/2009 - 11/17 -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w:t>
      </w:r>
    </w:p>
    <w:p>
      <w:r>
        <w:rPr>
          <w:b/>
        </w:rPr>
        <w:t>E. 5</w:t>
      </w:r>
    </w:p>
    <w:p>
      <w:r>
        <w:t>Selon la jurisprudence, pour qu'une invalidité soit reconnue, il est nécessaire, dans chaque cas, qu'un substrat médical pertinent entravant la capacité de travail (et de gain) de manière importante soit mis en évidence par le médecin spécialisé (arrêt du Tribunal fédéral du 21 août 2007, I 797/06, consid. 4). En effet, bien que l'invalidité soit une notion juridique et économique, les données fournies par les médecins constituent un élément utile pour apprécier les conséquences de l'atteinte à la santé et pour déterminer quels travaux on peut encore raisonnablement exiger de l'assuré (ATF 115 V 133 consid. 2, 114 V 310 consid. 3c).</w:t>
      </w:r>
    </w:p>
    <w:p>
      <w:r>
        <w:rPr>
          <w:b/>
        </w:rPr>
        <w:t>E. 5.1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Quant au juge cantonal, il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w:t>
      </w:r>
    </w:p>
    <w:p>
      <w:r>
        <w:rPr>
          <w:b/>
        </w:rPr>
        <w:t>E. 5.2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w:t>
      </w:r>
    </w:p>
    <w:p>
      <w:r>
        <w:t>A/3399/2009 - 12/17 - d'être entendu selon l'art. 29 al. 2 Cst. (Sozialversicherungsrecht Rechtsprechung [SVR] 2001 IV n° 10 p. 28).</w:t>
      </w:r>
    </w:p>
    <w:p>
      <w:r>
        <w:rPr>
          <w:b/>
        </w:rPr>
        <w:t>E. 5.3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5.4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traitants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constatations,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du 26 janvier 2007, U 365/06, consid. 4.1).</w:t>
      </w:r>
    </w:p>
    <w:p>
      <w:r>
        <w:t>A/3399/2009 - 13/17 - Enfin, on rappellera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du 20 novembre 2009, 9C_4/2009, consid. 2.2.).</w:t>
      </w:r>
    </w:p>
    <w:p>
      <w:r>
        <w:rPr>
          <w:b/>
        </w:rPr>
        <w:t>E. 6</w:t>
      </w:r>
    </w:p>
    <w:p>
      <w:r>
        <w:t>En l’occurrence, l’OAI a nié le droit du recourant à toutes prestations, en se fondant essentiellement sur le rapport d’expertise du Dr P__________ du 20 avril 2009 concluant à l’absence de toute atteinte invalidante sur les plans psychiatrique et neurologique, dès août 2007.</w:t>
      </w:r>
    </w:p>
    <w:p>
      <w:r>
        <w:t>Force est toutefois de constater que ce rapport n’est pas entièrement probant. D’une part, il ne mentionne pas – et, partant, ne discute aucunement - les conclusions du rapport de la Consultation de la Mémoire du 24 juillet 2006, confirmées, près de 18 mois plus tard, dans un second rapport du 18 décembre 2007, conclusions selon lesquelles l’évaluation neuropsychologique mettait en évidence au premier plan un important ralentissement, ainsi que des difficultés attentionnelles et mnésiques associées à une problématique anxio-dépressive significative (échelle de 14/21 pour l’anxiété et 16/21 pour la dépression. Le rapport neuropsychologique du 6 avril 2009, qui fait partie intégrante de l’expertise du Dr P__________, relève même, curieusement, l’absence « d’examen neuropsychologique antérieur », et cela en contradiction manifeste avec les pièces du dossier. Or, les conclusions des deux rapports précités de la Consultation de la Mémoire, établis par deux médecins spécialisés (dont l’un est également neuropsychologue), et dont la valeur probante n’est ni contestée, ni d’ailleurs contestable, sont en contradiction avec les conclusions du neuropsychologue (Monsieur Q__________, lequel n’est d’ailleurs pas médecin de formation), sur lesquelles le Dr P__________ s’est appuyé pour minimiser, sinon mettre en doute les difficultés neuropsychologiques de l’expertisé, retenant tout au plus que la capacité de travail, d’un point de vue cognitif, n’était probablement altérée que modestement. A cela s’ajoute un certain manque de clarté concernant les aptitudes neurologiques de l’expertisé, et en particulier l’intensité du ralentissement constaté, tantôt qualifié d’important (rapport, p. 15), tantôt qualifié de modeste du point de vue de l’incidence sur la capacité de travail (rapport, p. 15). On notera aussi que la majoration des symptômes mnésiques a été considérée comme seulement « probable » par le Dr P__________. De surcroît, le neuropsychologue Q__________ a expressément admis que son examen n’avait pas permis d’évaluer précisément la capacité de travail de l’intéressé du point de vue cognitif, respectivement ses difficultés neuropsychologiques éventuelles, alors même que les fonctions exécutives n’avaient pas toute été testées, mais paraissaient</w:t>
      </w:r>
    </w:p>
    <w:p>
      <w:r>
        <w:t>A/3399/2009 - 14/17 - « grosso modo » (sic) néanmoins conservées. Par surabondance, on relèvera que l’outil utilisé par ce neuropsychologue pour déceler l’existence d’un biais d’effort (les 15 items de Rey) fait l’objet de critiques psychométriques et n’apparaît dès lors pas entièrement fiable (http://www.neuropsychologie.fr/index.php?option=com_content&amp;view=article&amp;id =314:pratiques-des-neuropsychologues-dans-lexpertise-medico-legale&amp;catid=46). De surcroît, le Dr P__________ ne motive pas à satisfaction les raisons pour lesquelles il a estimé que l’expertisé avait recouvré une capacité de travail entière dès août 2007 dans une activité adaptée (sans responsabilités). A cet égard, les arguments retenus par cet expert (et le SMR avec lui) pour relativiser les conclusions des expertises du Dr M__________ des 4 septembre 2006 et 12 février 2007 ne sont pas convaincants. En effet, si, malgré les discordances effectivement observées par lui, le Dr M__________ a pu néanmoins admettre, sur le plan psychique, une incapacité de travail complète, c’est parce que ces discordances n’étaient que légères. Il n’a par ailleurs pas imputé lesdites discordances à une prétendue majoration des symptômes mnésiques (majoration au demeurant qualifiée de seulement « probable » par le Dr P__________), mais, en partie du moins, aux troubles de la mémoire, sinon à l’existence d’éléments pathologiques faisant partie de la structure de la personnalité de l’expertisé. A cela s’ajoute que, contrairement à ce qu’a indiqué le Dr P__________ (« nous proposons de suivre exactement les indications de l’expert précédent, à savoir de stipuler une exigence professionnelle entière 6 mois après la deuxième évaluation de février 2007 », rapport du 20 avril 2009, p. 22), le Dr M__________ ne s’est pas prononcé pour une reprise du travail à 100% dès le mois d’août 2007. Ce dernier a, au contraire, considéré qu’il était « difficile d’indiquer chronologiquement avec précision quand se fera le retour à une capacité de travail à 100%. On peut prévoir en conséquence une incapacité de travail à 100% pour les prochains 4-6 mois et une reprise partielle ensuite pour passer enfin au 100% » (rapport du 12 février 2007, p. 5). En cela, le Dr M__________ a d’ailleurs repris et confirmé les indications du psychiatre traitant selon lequel il fallait « attendre encore quelques mois (par ex. 4-6 mois ?) pour une restitutio ad integrum de ses capacités intellectuelles qui lui permettront une reprise du travail au moins partielle » (rapport du 12 février 2007, p. 4). Quant aux difficultés de communication relevées par le Dr P__________, l’expertise de ce dernier ne permet pas de les imputer, au degré de la vraisemblance prépondérante, à un évitement ou à un défaut de collaboration, plutôt qu’à un trouble cognitif (sinon à un trouble métabolique, apparemment non encore investigué à ce jour, cf. rapport de la Consultation de la Mémoire du 24 juillet 2006, p. 5), ce d’autant que le Dr P__________, à l’instar des spécialistes consultés, a lui- même admis l’existence d’un ralentissement psychique important chez l’expertisé. A cet égard, on notera encore une certaine contradiction entre les constatations du Dr M__________ et du Dr P__________, le premier ayant relevé que l’expertisé avait une connaissance limitée du français (tout comme du reste le neuropsychologue Q__________, lequel a qualifié de « pauvre » le niveau de</w:t>
      </w:r>
    </w:p>
    <w:p>
      <w:r>
        <w:t>A/3399/2009 - 15/17 - langage en français), alors que le second a indiqué que celui-ci maîtrisait relativement bien le français. Il s’ensuit que l’on ne saurait d’emblée nier toute influence des troubles cognitifs sur la capacité de travail du recourant, en l’état.</w:t>
      </w:r>
    </w:p>
    <w:p>
      <w:r>
        <w:t>De plus, le Dr P__________ ne s’est pas déterminé sur le diagnostic de clinophilie posé par le Dr L__________ dans son rapport du 12 décembre 2007 destiné à la NATIONALE SUISSE. Il s’est en effet limité à relever à cet égard que l’expertisé « se lève toujours tard » (rapport p. 5), sans vérifier plus avant l’existence d’une telle pathologie. D’un autre côté, il apparaît pour le moins contradictoire de dénier toute valeur probante aux deux expertises du Dr M__________ (dont on rappellera qu’il a été mandaté par la NATIONALE SUISSE, et non par l’assuré lui-même), comme l’a fait l’OAI dans sa réponse au recours, alors que le SMR, dans un avis du 16 juillet 2009, a expressément admis qu’il y avait eu une « décompensation psychique sévère dans le parcours de l’assuré ». Ce dernier avis est d’ailleurs lui-même en contradiction avec l’avis du SMR du 27 mai 2009, estimant que l’assuré avait eu une capacité de travail entière « depuis toujours, sans baisse de rendement justifiée ». Dans ce contexte, on peut également relever que le médecin-conseil de la NATIONALE SUISSE a, de son côté, non seulement estimé probantes les conclusions du Dr M__________ (retenant une incapacité de travail complète jusqu’en juin-août 2007, puis une reprise partielle), mais qu’il a encore, selon toute vraisemblance, estimé que l’assuré présentait une incapacité de gain complète jusqu’en mars 2008 en tout cas, puisque l’assurance perte de gains a entièrement pris en charge le cas jusqu’à cette date (laquelle correspond par ailleurs au délai maximum de deux ans usuellement appliqué par les assureurs perte de gain en cas de maladie : cf. art. 72 LAMal). On relèvera également que, contrairement à ce qu’a retenu le SMR dans son avis du 16 juillet 2009, ce n’est pas seulement à partir de son installation en tant qu’indépendant (au printemps 2005), mais déjà en tant que salarié, que l’assuré souffrait de fatigue, de difficultés à s’organiser, de stress et d’énervement (cf. déclarations de sa compagne, consignées par le Dr M__________ dans son rapport du 12 février 2007 ; voir aussi rapport de la Consultation de la Mémoire du 24 juillet 2006, mentionnant que ces troubles seraient apparus voici plusieurs années et fluctueraient selon les jours, indépendamment des efforts demandés par le travail de l’assuré : rapport, p.2). De son côté, le Dr T__________ a également constaté que depuis 5 ans, son patient présentait des capacités limitées de concentration, de compréhension et d’adaptation. On peut d’ailleurs se demander si cet état n’expliquerait pas, en partie du moins, que l’assuré n’ait été en mesure d’exercer, depuis son entrée en Suisse en 1996, que des emplois temporaires, avant de se mettre à son compte en mars 2005 – situation qui n’a pas non plus été investiguée plus avant sur le plan médical. En effet, le Dr M__________ laisse clairement entendre que l’équilibre psychique de l’expertisé était précaire avant</w:t>
      </w:r>
    </w:p>
    <w:p>
      <w:r>
        <w:t>A/3399/2009 - 16/17 - même que celui-ci ne devienne indépendant, la décompensation psychique étant survenue sur « le terrain fragile » d’un probable trouble de la personnalité préexistant (rapport du 12 février 2007, p. 4). Enfin, l’OAI ne s’est nullement déterminé sur le rapport médical complémentaire du Dr L__________ du 5 octobre 2009.</w:t>
      </w:r>
    </w:p>
    <w:p>
      <w:r>
        <w:t>Sur le plan rhumatologique, l’instruction de l’OAI apparaît également lacunaire puisque cet Office a renoncé, sans motivation valable, à se déterminer sur la périarthrite au niveau de l’épaule droite dont souffre l’assuré depuis mars 2009 environ (cf. courrier du Dr S__________ du 16 septembre 2009) – soit antérieurement à la décision litigieuse du 19 août 2009, dont la date marque la limite dans le temps du pouvoir d'examen du Tribunal de céans (ATF 129 V 1 consid. 2.1 et ATF 121 V 362 consid. 1b). En effet, que le Dr S__________ n’ait fait « nulle mention » d’une telle affection dans son rapport reçu le 10 août 2009 n’autorisait pas pour autant l’Office intimé à déroger au principe inquisitoire, qui s’impose à lui en vertu de l’art. 43 LPGA. A cela s’ajoute que, dans son avis du 13 août 2009, le SMR a écarté toute atteinte incapacitante sur le plan rhumatologique dans la mesure où, à son avis, la posologie du traitement anti-inflammatoire était insuffisante et où il n’y avait pas d’autres traitements en cours, en particulier de « méthode de physiothérapie ». Or, il semble avoir échappé au SMR que le Dr S__________ avait dûment attesté que le traitement prodigué consistait également en séances de physiothérapie (et d’antidépresseurs). Cela étant, compte tenu des divergences d’estimation entre les Drs P__________ et L__________ concernant la capacité de travail du recourant (divergences qu'il n'est pas possible de lever sans autre en l’occurrence) et de l’absence d’appréciation globale quant à la répercussion des atteintes neurologiques, rhumatologiques et psychiques sur ladite capacité, il s’impose de renvoyer la cause à l’Office intimé en vue de la mise en œuvre d’une expertise multidisciplinaire auprès d’un Centre d’observation médicale de l’AI ou du Bureau romand d’expertise médicale.</w:t>
      </w:r>
    </w:p>
    <w:p>
      <w:r>
        <w:rPr>
          <w:b/>
        </w:rPr>
        <w:t>E. 7</w:t>
      </w:r>
    </w:p>
    <w:p>
      <w:r>
        <w:t>Le recourant, qui obtient partiellement gain de cause, a droit à des dépens (art. 61 let. g LPGA); fixés en l’espèce à Fr. 2’000.-.</w:t>
      </w:r>
    </w:p>
    <w:p>
      <w:r>
        <w:rPr>
          <w:b/>
        </w:rPr>
        <w:t>E. 8</w:t>
      </w:r>
    </w:p>
    <w:p>
      <w:r>
        <w:t>Conformément à l'art. 69 al. 1bis LAI, un émolument de 500 fr. est mis à la charge de l'OAI qui succombe.</w:t>
      </w:r>
    </w:p>
    <w:p>
      <w:r>
        <w:t>A/3399/2009 - 17/17 -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