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ATAS/266/2008 vom 5. März 2008</w:t>
      </w:r>
    </w:p>
    <w:p>
      <w:r>
        <w:t>GE Cour de justice, 2008-03-05, FR</w:t>
      </w:r>
    </w:p>
    <w:p>
      <w:r>
        <w:rPr>
          <w:b/>
        </w:rPr>
        <w:t xml:space="preserve">Quelle: </w:t>
      </w:r>
      <w:r>
        <w:t>https://mcp.opencaselaw.ch/entscheid/ge_gerichte_ATAS_266_2008</w:t>
      </w:r>
    </w:p>
    <w:p>
      <w:r>
        <w:t>FR: GE_GERICHTE ATAS/266/2008 du 5 mars 2008</w:t>
      </w:r>
    </w:p>
    <w:p>
      <w:r>
        <w:t>IT: GE_GERICHTE ATAS/266/2008 del 5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t>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Aussi le droit à une rente de l'assurance- invalidité doit être examiné à la lumière des anciennes dispositions légales pour la période antérieure au 1er janvier 2003 et au regard des nouvelles dispositions pour la période postérieure.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rPr>
          <w:b/>
        </w:rPr>
        <w:t>E. 3</w:t>
      </w:r>
    </w:p>
    <w:p>
      <w:r>
        <w:t>Conformément à l'art. 56 al. 1 LPGA, les décisions sur opposition peuvent faire l'objet d'un recours dans le délai de 30 jours dès la notification (cf. art. 60 al. 1 LPGA). Selon l'art. 38 al. 4 let. a LPGA, applicable par analogie (art. 60 al. 2 LPGA), les délais en jours fixés par la loi ne courent pas du 7ème jour avant Pâques au 7ème jour après Pâques inclusivement. En l'occurrence, selon la copie de l'enveloppe produite par la recourante, il apparaît que la décision datée du 5 avril 2007 lui a été notifiée par pli recommandé du 16 avril 2007. Le délai de recours a donc commencé à courir au plus tôt le 18 avril 2007, soit après la fin du délai de</w:t>
      </w:r>
    </w:p>
    <w:p>
      <w:r>
        <w:t>A/1935/2007 - 7/12 - suspension après Pâques, de sorte que le recours interjeté le 16 mai 2007 dans la forme prescrite est recevable.</w:t>
      </w:r>
    </w:p>
    <w:p>
      <w:r>
        <w:rPr>
          <w:b/>
        </w:rPr>
        <w:t>E. 4</w:t>
      </w:r>
    </w:p>
    <w:p>
      <w:r>
        <w:t>Le litige poste sur le degré d'invalidité de la recourante et par conséquent sur son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2002). L'invalidité est réputée survenue dès qu'elle est, par sa nature et sa gravité, propre à ouvrir droit aux prestations entrant en considération (art 4 al. 2 LAI).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Il convient de rappeler que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 même capable de fournir depuis le début de son incapacité de travail, ceci pour</w:t>
      </w:r>
    </w:p>
    <w:p>
      <w:r>
        <w:t>A/1935/2007 - 8/12 - éviter que le recourant soit tenté d'influencer à son profit, le degré de son invalidité (ATF 106 V 86 consid. 2 p. 87).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w:t>
      </w:r>
    </w:p>
    <w:p>
      <w:r>
        <w:t>A/1935/2007 - 9/12 -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70 consid. 4.1).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w:t>
      </w:r>
    </w:p>
    <w:p>
      <w:r>
        <w:t>A/1935/2007 - 10/12 - durable à un trouble somatoforme douloureux, dans la mesure où ils ne sont en règle générale qu'une manifestation réactive ne devant pas faire l'objet d'un diagnostic séparé (ATF 130 V 356 consid. 3.3.1 in fine; MEYER/BLASER, op. cit. p. 81, note 135).</w:t>
      </w:r>
    </w:p>
    <w:p>
      <w:r>
        <w:rPr>
          <w:b/>
        </w:rPr>
        <w:t>E. 9</w:t>
      </w:r>
    </w:p>
    <w:p>
      <w:r>
        <w:t>En l'espèce, il résulte du dossier médical que du point de vue rhumatologique, la recourante souffre de lombosciatalgies chroniques ainsi que de douleurs dans l'épaule gauche.. Les médecins ont retenu le diagnostic de fibromyalgie. Selon les Drs A_________ et B_________, l'incapacité de travail est de 50 % en raison des douleurs. Sur le plan psychique, le Dr D________ mentionne un trouble dépressif récurrent, épisode actuel moyen, et des attaques de panique. Dans son rapport d'expertise, le Dr C________ a posé également le diagnostic de trouble somatoforme douloureux sous la forme d'une fibromyalgie, relevant que la recourante présente des dorsalgies chroniques, une hernie discale pré-ligamentaire en L5-S1 vraisemblable et un status après périartrhite scapulo-humérale gauche. L'examen clinique est cependant très rassurant, sans altération des mobilités ostéo- articulaires, si ce n'est au niveau de l'épaule gauche. Selon l'expert rhumatologue, dans une activité respectant les limitations fonctionnelles, à savoir des travaux légers, sans port de charges excédant 15 kilos, ni mouvements répétitifs du membre supérieur gauche au-dessus de la tête, du rachis ou en porte-à-faux, avec possibilité d'alterner les positions assise et debout, la capacité de travail est entière. Concernant les troubles psychiques, plus particulièrement l'état dépressif et les troubles anxieux, il se référait à l'appréciation de l'intimé quant à la mise en œuvre d'une expertise psychiatrique. Eu égard au diagnostic de trouble somatoforme douloureux sous forme de fibromyalgie, c'est à juste titre que l'intimé a préconisé une expertise psychiatrique. Le Dr E________, dans son rapport du 27 décembre 2004, a posé le diagnostic d'état dépressif réactionnel n'entraînant aucune limitation de la capacité de travail. Quant au Dr F________, il retient dans son rapport du 22 décembre 2005 les diagnostics d'autres épisodes dépressifs et de production intentionnelle ou simulation de symptômes ou d'incapacités soit physiques, soit psychologiques. L'emploi exercé auparavant devrait pouvoir, sous traitement psychiatrique, être porté à un plein temps. Sur le plan psychique en effet, théoriquement, un travail à plein temps est possible. Il n'a pas constaté de péjoration de l'état psychique depuis l'expertise du Dr E________. Dans son deuxième rapport d'expertise psychiatrique du 24 février 2007, le Dr F________ conclut, après avoir examiné la recourante, que les troubles psychiques ne sont pas graves, qu'il n'y a pas de perte d'intégration sociale, que l'assurée n'est pas empêchée actuellement d'assumer un emploi à mi- temps et que d'autres activités sont exigibles à plein temps dans un emploi adapté. Force est donc de constater, que de l'avis des experts, la recourante présente du point de vue rhumatologique et psychique, une capacité de travail totale tant dans</w:t>
      </w:r>
    </w:p>
    <w:p>
      <w:r>
        <w:t>A/1935/2007 - 11/12 - l'activité antérieure que dans une activité adaptée. Le Tribunal de céans relève que les rapports des experts ont pleine valeur probante, de sorte qu'il n'a aucune raison de remettre en cause leurs conclusions claires et bien motivées. Le rapport produit par la recourante en cours de procédure ne saurait conduire à une appréciation divergente, dès lors que le juge doit se prononcer sur la base des éléments existant lors de la décision litigieuse.</w:t>
      </w:r>
    </w:p>
    <w:p>
      <w:r>
        <w:t>Il s'ensuit que la recourante n'a pas droit à des prestations de l'assurance-invalidité.</w:t>
      </w:r>
    </w:p>
    <w:p>
      <w:r>
        <w:rPr>
          <w:b/>
        </w:rPr>
        <w:t>E. 10</w:t>
      </w:r>
    </w:p>
    <w:p>
      <w:r>
        <w:t>Mal fondé, le recours doit être rejeté. L'émolument, fixé en l'espèce à 200 fr., est mis à la charge de la recourante, qui succombe (art. 69 al. 1bis LAI).</w:t>
      </w:r>
    </w:p>
    <w:p>
      <w:r>
        <w:t>A/1935/2007 - 12/12 -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