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ATAS/265/2026 vom 27. März 2026</w:t>
      </w:r>
    </w:p>
    <w:p>
      <w:r>
        <w:t>GE Cour de justice, 2026-03-27, FR</w:t>
      </w:r>
    </w:p>
    <w:p>
      <w:r>
        <w:rPr>
          <w:b/>
        </w:rPr>
        <w:t xml:space="preserve">Quelle: </w:t>
      </w:r>
      <w:r>
        <w:t>https://mcp.opencaselaw.ch/entscheid/ge_gerichte_ATAS_265_2026</w:t>
      </w:r>
    </w:p>
    <w:p>
      <w:r>
        <w:t>FR: GE_GERICHTE ATAS/265/2026 du 27 mars 2026</w:t>
      </w:r>
    </w:p>
    <w:p>
      <w:r>
        <w:t>IT: GE_GERICHTE ATAS/265/2026 del 27 marzo 2026</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Le siège de la société ayant été situé dans le canton de Genève jusqu’au moment de sa faillite, la chambre de céans est également compétente ratione loci.</w:t>
      </w:r>
    </w:p>
    <w:p>
      <w:r>
        <w:rPr>
          <w:b/>
        </w:rPr>
        <w:t>E. 1.3</w:t>
      </w:r>
    </w:p>
    <w:p>
      <w:r>
        <w:t>Interjetés dans les formes et délai prévus par la loi, les recours sont recevables (art. 56ss LPGA).</w:t>
      </w:r>
    </w:p>
    <w:p>
      <w:r>
        <w:t>A/3212/2025 - 5/14 -</w:t>
      </w:r>
    </w:p>
    <w:p>
      <w:r>
        <w:rPr>
          <w:b/>
        </w:rPr>
        <w:t>E. 2</w:t>
      </w:r>
    </w:p>
    <w:p>
      <w:r>
        <w:t>À teneur de l'art. 1 al. 1 LAVS, les dispositions de la LPGA s'appliquent aux art. 1 à 97 LAVS,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litige porte sur la responsabilité du recourant pour le dommage subi par l'intimée du fait du défaut de paiement des cotisations sociales pour les salaires versés par la société en 2020.</w:t>
      </w:r>
    </w:p>
    <w:p>
      <w:r>
        <w:rPr>
          <w:b/>
        </w:rPr>
        <w:t>E. 4.2</w:t>
      </w:r>
    </w:p>
    <w:p>
      <w:r>
        <w:t>;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w:t>
      </w:r>
    </w:p>
    <w:p>
      <w:r>
        <w:rPr>
          <w:b/>
        </w:rPr>
        <w:t>E. 5</w:t>
      </w:r>
    </w:p>
    <w:p>
      <w:r>
        <w:t>Selon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w:t>
      </w:r>
    </w:p>
    <w:p>
      <w:r>
        <w:rPr>
          <w:b/>
        </w:rPr>
        <w:t>E. 5.1</w:t>
      </w:r>
    </w:p>
    <w:p>
      <w:r>
        <w:t>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Thierry TANQUEREL/François BELLANGER,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KÖLZ/Isabelle HÄNER/Martin BERTSCHI, Verwaltungsverfahren und Verwaltungsrechtspflege des Bundes. 2013, p. 324 n. 929).</w:t>
      </w:r>
    </w:p>
    <w:p>
      <w:r>
        <w:rPr>
          <w:b/>
        </w:rPr>
        <w:t>E. 5.2</w:t>
      </w:r>
    </w:p>
    <w:p>
      <w:r>
        <w:t>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(ATF 112 V</w:t>
      </w:r>
    </w:p>
    <w:p>
      <w:r>
        <w:t>A/3212/2025 - 6/14 - 261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 Les tribunaux cantonaux des assurances sociales doivent appeler en cause les autres débiteurs solidaires recherchés par la caisse de compensation, que la procédure les concernant soit pendante ou que leur responsabilité ait fait l’objet d’une décision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(ATF 134 V 306 consid. 3 et les références).</w:t>
      </w:r>
    </w:p>
    <w:p>
      <w:r>
        <w:rPr>
          <w:b/>
        </w:rPr>
        <w:t>E. 5.3</w:t>
      </w:r>
    </w:p>
    <w:p>
      <w:r>
        <w:t>En l’espèce, l’intimée a également adressé une décision en réparation à l’encontre de C______, ce qui a justifié son appel en cause. Il ne s’est toutefois pas manifesté.</w:t>
      </w:r>
    </w:p>
    <w:p>
      <w:r>
        <w:rPr>
          <w:b/>
        </w:rPr>
        <w:t>E. 6</w:t>
      </w:r>
    </w:p>
    <w:p>
      <w:r>
        <w:t>À titre liminaire, il convient d’examiner si la prétention de la caisse est prescrite.</w:t>
      </w:r>
    </w:p>
    <w:p>
      <w:r>
        <w:rPr>
          <w:b/>
        </w:rPr>
        <w:t>E. 6.1</w:t>
      </w:r>
    </w:p>
    <w:p>
      <w:r>
        <w:t>L’art. 52 al. 3 LAVS, dans sa teneur en vigueur depuis le 1er janvier 2020,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 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 Ces deux dispositions sont entrées en vigueur le 1er janvier 2020. En renvoyant désormais aux dispositions du CO sur la prescription des actions introduites en cas d’acte illicite, le délai de prescription relatif se trouve augmenté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w:t>
      </w:r>
    </w:p>
    <w:p>
      <w:r>
        <w:t>A/3212/2025 - 7/14 - et les actes interruptifs, sont régis par les art. 130 ss CO (Message du Conseil fédéral relatif à la modification du code des obligations [droit de la prescription] du 29 novembre 2013, FF 2014 221, p. 260).</w:t>
      </w:r>
    </w:p>
    <w:p>
      <w:r>
        <w:rPr>
          <w:b/>
        </w:rPr>
        <w:t>E. 6.2</w:t>
      </w:r>
    </w:p>
    <w:p>
      <w:r>
        <w:t>L’art. 49 Titre final du Code civil suisse du 10 décembre 1907 (CC - RS 210) règle de manière générale les questions de droit transitoire en matière de prescription et a été réécrit lors de la révision du droit de la prescription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(FF 2014 221 p. 254).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w:t>
      </w:r>
    </w:p>
    <w:p>
      <w:r>
        <w:rPr>
          <w:b/>
        </w:rPr>
        <w:t>E. 6.3</w:t>
      </w:r>
    </w:p>
    <w:p>
      <w:r>
        <w:t>S’agissant des actes interruptifs de prescription, selon la jurisprudence rendue à propos de l’art. 52 al. 3 LAVS, dans son ancienne teneur, les délais de prescription sont interrompus par les actes énumérés à l’art. 135 CO (applicable par analogie) ainsi que par tous les actes de procédure relatif au droit invoqué et susceptible de faire progresser l'instance (ATF 141 V 487 consid. 2.3 p. 48 ; arrêts du Tribunal fédéral 9C_641/2020 du 30 mars 2021 consid. 5.3 et la référence ; 9C_400/2020 du 19 octobre 2020 consid. 3.2.1 et la référence). Ainsi, tant la décision que l’opposition interrompent les délais de prescription (ATF 135 V 74 consid. 4.2.2).</w:t>
      </w:r>
    </w:p>
    <w:p>
      <w:r>
        <w:rPr>
          <w:b/>
        </w:rPr>
        <w:t>E. 6.4</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126 V 443 consid. 3a). Ainsi, un dommage se produit en cas de faillite, en raison de l'impossibilité pour la caisse de récupérer les cotisations dans la procédure ordinaire de recouvrement. Le dommage subi par</w:t>
      </w:r>
    </w:p>
    <w:p>
      <w:r>
        <w:t>A/3212/2025 - 8/14 - la caisse est réputé être survenu le jour de la faillite ; le jour de la survenance du dommage marque celui de la naissance de la créance en réparation et la date à partir de laquelle court le délai absolu (ATF 129 V 193 consid. 2.2 et la référence).</w:t>
      </w:r>
    </w:p>
    <w:p>
      <w:r>
        <w:rPr>
          <w:b/>
        </w:rPr>
        <w:t>E. 6.5</w:t>
      </w:r>
    </w:p>
    <w:p>
      <w:r>
        <w:t>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141 V 487 consid. 2.2 et les références).</w:t>
      </w:r>
    </w:p>
    <w:p>
      <w:r>
        <w:rPr>
          <w:b/>
        </w:rPr>
        <w:t>E. 6.6</w:t>
      </w:r>
    </w:p>
    <w:p>
      <w:r>
        <w:t>En l’espèce, la question du point de départ des délais de prescription doit être tranchée à la lumière du nouveau droit, dès lors que les faits sont postérieurs à l'entrée en vigueur le 1er janvier 2020 de l'actuel art. 52 al. 3 LAVS. Ainsi, les délais de prescription de trois ans (délai relatif) et de 10 ans (délai absolu) s'appliquent. S'agissant du délai absolu, le dommage est réputé survenu le jour du prononcé de la faillite, soit le 2 juin 2022, date à laquelle ce délai a commencé à courir. S'agissant du délai relatif, le moment de la connaissance du dommage correspond à celui de la publication de la suspension de la liquidation de la faillite faute d'actifs, soit le 29 août 2022. Il s’ensuit que la créance de l'intimée n'était pas prescrite lorsqu'elle a rendu sa décision en réparation du dommage le 16 juillet 2025, soit moins de trois ans après la suspension de la liquidation de la faillite du 29 août 2022 et moins de dix ans après le prononcé de la faillite. Par conséquent, la prétention de l'intimée en réparation du dommage à l'encontre du recourant n'est pas prescrite.</w:t>
      </w:r>
    </w:p>
    <w:p>
      <w:r>
        <w:rPr>
          <w:b/>
        </w:rPr>
        <w:t>E. 7</w:t>
      </w:r>
    </w:p>
    <w:p>
      <w:r>
        <w:t>Il convient à présent d'examiner si les autres conditions de la responsabilité de l’art. 52 LAVS sont réalisées, soit d'établir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7.1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t>A/3212/2025 - 9/14 -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D'autres personnes possèdent toutefois la qualité d'organe de fait de la société. Il s'agit des celles qui participent de façon durable, concrète et décisive à la formation de la volonté sociale dans un vaste domaine dépassant les affaires courantes (ATF 128 III 29 consid. 3a p. 30 s. ; 122 III 225 consid. 4b p. 227 s.). Dans cette éventualité, il faut cependant que la personne en question ait eu la possibilité de causer un dommage ou de l'empêcher, c'est-à-dire qu'elle ait effectivement exercé une influence sur la marche des affaires de la société (ATF 132 III 523 consid. 4.5 p. 528 s.; cf. aussi ATF 146 III 37 consid. 5 et 6 p. 41 ss). C'est en principe le cas d'un directeur qui a généralement la qualité d'organe de fait en raison de l'étendue des compétences que cette fonction suppose (ATF 104 II 197 consid. 3b; FORSTMOSER/MEIER-HAYOZ/NOBEL, op. cit., § 37, p. 443 note 17; BÖCKLI, op. cit., note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FORSTMOSER/MEIER-HAYOZ/NOBEL, op. cit., § 37, p. 442 note 8; consid. 7.3 de l'arrêt P. du 16 avril 2003, H 234/02, résumé in HAVE/REAS 2003 p. 251). Dans un arrêt 9C_68/2020 du 29 décembre 2020, le Tribunal fédéral a retenu qu’en dépit de son titre de directeur, le recourant ne saurait être qualifié d’organe de fait. Il ressortait en effet des témoignages que la gestion quotidienne de la</w:t>
      </w:r>
    </w:p>
    <w:p>
      <w:r>
        <w:t>A/3212/2025 - 10/14 - société était quasi exclusivement assumée par un autre organe et que les rares interventions du recourant ne s'étaient produites que lors des vacances de celui-ci. De surcroît, aucun des témoins interrogés n'avait été en mesure de définir concrètement la fonction ou le cahier des charges du recourant. La représentante de la fiduciaire avait même affirmé qu'à sa connaissance, il avait servi de prête- nom à la société. Les quelques documents signés par le recourant en trois ans (une demande de délai pour payer un acompte de cotisations, l'attestation des salaires 2011, une demande de délai pour payer le complément de cotisations 2011 et une demande d'adaptation des acomptes 2012) ne sauraient par ailleurs démontrer que celui-ci était responsable de la gestion des salaires au sein de la société, qu'il en connaissait la situation financière et qu'il était à même de l'influencer, d'autant moins qu'il disposait seulement de la signature collective à deux. Le fait que le recourant était l'associé gérant président d'une autre société d'emplois temporaires ne changeait rien, puisque le rôle qu'il y exerçait ne permettait pas d'établir dans quelle mesure il aurait effectivement exercé une influence dans la marche des affaires la société. Il était donc arbitraire de retenir que le recourant était un organe de fait de la société, en déduisant avant tout de son inscription au registre du commerce une participation déterminante à la formation de la volonté sociale (consid. 5).</w:t>
      </w:r>
    </w:p>
    <w:p>
      <w:r>
        <w:rPr>
          <w:b/>
        </w:rPr>
        <w:t>E. 7.2</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w:t>
      </w:r>
    </w:p>
    <w:p>
      <w:r>
        <w:t>A/3212/2025 - 11/14 -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(arrêts du Tribunal fédéral9C_320/2018 du 20 septembre 2018 consid.</w:t>
      </w:r>
    </w:p>
    <w:p>
      <w:r>
        <w:rPr>
          <w:b/>
        </w:rPr>
        <w:t>E. 7.3</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7.4</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w:t>
      </w:r>
    </w:p>
    <w:p>
      <w:r>
        <w:t>A/3212/2025 - 12/14 - sommation et les frais de poursuite (Directives sur la perception des cotisations - DP, nos 8016 et 8017). Par arrêt du 30 janvier 2020 (ATAS/79/2020), la chambre de céans a jugé qu’il n’existait pas de base légale suffisante pour rechercher les employeurs ou leurs organes pour le dommage résultant du défaut de paiement des cotisations dues en vertu de la loi instituant une assurance en cas de maternité et d'adoption du 21 avril 2005 (LAMat - J 5 07). Selon l’art. 11A LAMat, entré en vigueur le 1er février 2023, l’employeur qui, intentionnellement ou par négligence grave, n’observe pas des prescriptions et cause ainsi un dommage au fonds cantonal de compensation de l’assurance- maternité ou à la caisse de compensation AVS est tenu de le réparer. L’art. 52 de la loi sur l’assurance-vieillesse et survivants s’applique par analogie. 8. En l'espèce, le recourant soutient que, depuis le 4 juin 2019, il n’était plus gérant de la société. En sa qualité de directeur, désigné uniquement dans le cadre d’un mandat fiduciaire, notamment pour la gestion comptable de la société, il n’avait aucun pouvoir décisionnel, aucune signature bancaire, aucune autorité sur la gestion salariale ou sociale, ni contrôle sur les finances de la société. Ces éléments ne sont toutefois étayés par aucune pièce. Dûment convoqué à une audience, le recourant ne s’est pas présenté. Or, selon la jurisprudence, le directeur d’une société a généralement la qualité d’organe de fait en raison de l’étendue des compétences que cette fonction suppose (cf. supra consid. 7.1). Il exerce ainsi, en principe, une influence sur la marche des affaires. Rien au dossier ne permet de retenir que tel ne serait pas le cas en l’espèce. Le recourant bénéficie en effet d’une signature individuelle et, selon le RC, il a exercé la fonction de gérant de 2013 à 2019, avant de devenir le directeur. Tout porte à croire qu’il avait la compétence d’intervenir sur la gestion financière de la société et qu’il disposait ainsi des pouvoirs nécessaires pour empêcher le dommage causé à la caisse. Le recourant l’a du reste admis en affirmant, dans un courriel adressé à l’OCAS, qu’il n’était plus « en charge de la société » depuis février 2021. Même à retenir, comme il le prétend dans son recours, sans aucunement le démontrer, que son rôle se limitait à la gestion comptable de la société depuis 2019, il lui appartenait, dans ce cadre, de s’assurer que les cotisations salariales étaient réglées et de prendre les mesures nécessaires si tel n’était pas le cas. Compte tenu de ce qui précède, il convient d’admettre qu’il avait la qualité d’organe matériel ou de fait de la société. Il appert ainsi que le recourant a commis une négligence grave en laissant en souffrance les créances de la caisse intimée, étant précisé que ces manquements sont sans aucun doute en rapport de causalité naturelle et adéquate avec le dommage subi par l’intimée. S'il avait correctement exécuté son mandat de directeur, il aurait pu veiller au paiement des cotisations aux assurances sociales.</w:t>
      </w:r>
    </w:p>
    <w:p>
      <w:r>
        <w:t>A/3212/2025 - 13/14 - Il répond donc du dommage à titre subsidiaire causé à l'intimée pour le non- paiement des cotisations litigieuses en 2020. Pour le reste, le recourant ne remet pas en cause la somme réclamée, qui apparait conforme aux pièces versées au dossier, en particulier au décompte annexé à la décision en réparation du dommage. S’agissant des cotisations dues en vertu de la LAMat, comme l'a retenu la chambre de céans dans un arrêt de principe (ATAS/79/2020), jusqu'au 31 janvier 2023, il n'existait pas de base légale suffisante pour rechercher un employeur ou ses organes pour le dommage résultant du défaut de paiement de ces cotisations. Or, la demande de réparation du dommage du 16 juillet 2025, confirmée par décision sur opposition du 19 août 2025, et du décompte y relatif, comporte des montants dus selon la LAMat pour l’année 2020. Dans la mesure où l'état de fait ayant fondé cette demande s'est réalisé avant l'entrée en vigueur de l'art. 11A LAMat, l'intimée n'était pas fondée à réclamer au recourant le montant correspondant aux cotisations dues en vertu de la LAMat. En conséquence, il y a lieu de déduire du dommage de l'intimée les cotisations impayées découlant de la LAMat. Il est encore rappelé que le recourant et l’appelé en cause sont solidairement responsables du montant litigieux correspondant aux cotisations paritaires de 2020 à septembre 2022 (cf. art. 52 LAVS ; ATF 119 V 86 consid. 5a). Par conséquent, dans l’hypothèse où l’appelé en cause a procédé à des remboursements, il y a lieu de retrancher du nouveau montant les sommes déjà versées par celui-ci. 9. Eu égard de ce qui précède, le recours est très partiellement admis et la décision sur opposition querellée est annulée. La cause est renvoyée à l'intimée pour nouveau calcul du dommage excluant les cotisations impayées découlant de la LAMat, les intérêts moratoires et frais administratifs afférents à ces montants et nouvelle décision sur ce point. Le recourant, bien qu'ayant obtenu partiellement gain de cause, a agi en personne, de sorte qu'il ne se justifie pas de lui octroyer des dépens, suivant la pratique constante de la chambre de céans (ATAS/595/2022 du 9 juin 2022 consid. 9). Pour le surplus, la procédure est gratuite (art. 61 let. fbis LPGA a contrario).</w:t>
      </w:r>
    </w:p>
    <w:p>
      <w:r>
        <w:t>A/3212/2025 - 14/14 - PAR CES MOTIFS, LA CHAMBRE DES ASSURANCES SOCIALES : Statuant À la forme : 1. Déclare le recours recevable. Au fond : 2. L’admet très partiellement. 3. Annule la décision du 19 août 2025 et renvoie la cause à l'intimée pour nouveau calcul et nouvelle décision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 Une copie conforme du présent arrêt est notifiée aux parties ainsi qu’à l’Office fédéral des assurances sociales par le greffe le</w:t>
      </w:r>
    </w:p>
    <w:p>
      <w:r>
        <w:rPr>
          <w:b/>
        </w:rPr>
        <w:t>E. 10</w:t>
      </w:r>
    </w:p>
    <w:p>
      <w:r>
        <w:t>décembre 2007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