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ATAS/265/2023 vom 18. April 2023</w:t>
      </w:r>
    </w:p>
    <w:p>
      <w:r>
        <w:t>GE Cour de justice, 2023-04-18, FR</w:t>
      </w:r>
    </w:p>
    <w:p>
      <w:r>
        <w:rPr>
          <w:b/>
        </w:rPr>
        <w:t xml:space="preserve">Quelle: </w:t>
      </w:r>
      <w:r>
        <w:t>https://mcp.opencaselaw.ch/entscheid/ge_gerichte_ATAS_265_2023</w:t>
      </w:r>
    </w:p>
    <w:p>
      <w:r>
        <w:t>FR: GE_GERICHTE ATAS/265/2023 du 18 avril 2023</w:t>
      </w:r>
    </w:p>
    <w:p>
      <w:r>
        <w:t>IT: GE_GERICHTE ATAS/265/2023 del 18 aprile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w:t>
      </w:r>
    </w:p>
    <w:p>
      <w:r>
        <w:t>- 3/4-</w:t>
      </w:r>
    </w:p>
    <w:p>
      <w:r>
        <w:t>A/484/2023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w:t>
      </w:r>
    </w:p>
    <w:p>
      <w:r>
        <w:t>- 4/4-</w:t>
      </w:r>
    </w:p>
    <w:p>
      <w:r>
        <w:t>A/484/2023</w:t>
      </w:r>
    </w:p>
    <w:p>
      <w:r>
        <w:rPr>
          <w:b/>
        </w:rPr>
        <w:t>E. 3</w:t>
      </w:r>
    </w:p>
    <w:p>
      <w:r>
        <w:t>En l'occurrence, interjeté après le délai de 30 jours dès sa réception, même en tenant compte de la suspension des délais entre le 18 décembre et le 2 janvier inclusivement, le recours est tardif. La recourante ne se prévalant pas de motifs qui l'auraient empêchée de faire recours dans le délai légal, le recours est donc irrecevable.</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