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ATAS/265/2018 vom 26. März 2018</w:t>
      </w:r>
    </w:p>
    <w:p>
      <w:r>
        <w:t>GE Cour de justice, 2018-03-26, FR</w:t>
      </w:r>
    </w:p>
    <w:p>
      <w:r>
        <w:rPr>
          <w:b/>
        </w:rPr>
        <w:t xml:space="preserve">Quelle: </w:t>
      </w:r>
      <w:r>
        <w:t>https://mcp.opencaselaw.ch/entscheid/ge_gerichte_ATAS_265_2018</w:t>
      </w:r>
    </w:p>
    <w:p>
      <w:r>
        <w:t>FR: GE_GERICHTE ATAS/265/2018 du 26 mars 2018</w:t>
      </w:r>
    </w:p>
    <w:p>
      <w:r>
        <w:t>IT: GE_GERICHTE ATAS/265/2018 del 26 marzo 2018</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rPr>
          <w:b/>
        </w:rPr>
        <w:t>E. 3</w:t>
      </w:r>
    </w:p>
    <w:p>
      <w:r>
        <w:t>L’objet du litige porte sur la question du partage des revenus des ex-époux durant la période 1992-1997, pendant laquelle ils étaient domiciliés en France ainsi que sur la question de l’attribution de bonifications pour tâches éducatives à la recourante, pour cette même période.</w:t>
      </w:r>
    </w:p>
    <w:p>
      <w:r>
        <w:rPr>
          <w:b/>
        </w:rPr>
        <w:t>E. 4</w:t>
      </w:r>
    </w:p>
    <w:p>
      <w:r>
        <w:t>a. Selon l’art. 1a al. 1 LAVS, sont assurés conformément à la présente loi : a. les personnes physiques domiciliées en Suisse ; b. les personnes physiques qui exercent en Suisse une activité lucrative ; c. les ressortissants suisses qui travaillent à l’étranger : au service de la Confédération ; au service d’organisations internationales avec lesquelles le Conseil fédéral a conclu un accord de siège et qui sont considérées comme employeurs au sens de l’art. 12 ; au service d’organisations d’entraide privées soutenues de manière substantielle par la Confédération en vertu de l’art. 11 de la loi fédérale du 19 mars 1976 sur la coopération au développement et l’aide humanitaire internationales (al. 1). La LAVS en vigueur durant la période en cause 1992 – 1997 prévoyait également que l’assurance obligatoire s’appliquait aux personne physique qui avaient leur domicile en Suisse et celles qui exerçaient en Suisse une activité lucrative (art. 1 al. 1 aLAVS, en vigueur en 1992) ; une assurance facultative était possible pour les ressortissants suisses résidant à l’étranger (art. 2 aLAVS, en vigueur en 1992).</w:t>
      </w:r>
    </w:p>
    <w:p>
      <w:r>
        <w:t>A/2504/2017 - 5/8 - b. Selon l’art. 3 al. 3 let a LAVS, sont réputés avoir payé eux-mêmes des cotisations, pour autant que leur conjoint ait versé des cotisations équivalant au moins au double de la cotisation minimale : les conjoints sans activité lucrative d’assurés exerçant une activité lucrative. À cet égard, jusqu'au 31 décembre 1996, les épouses d'assurés ou les veuves qui n'exerçaient pas d'activité lucrative n'étaient pas tenues de payer des cotisations à l'assurance-vieillesse et survivants (ancien art. 3 al. 2 let. b et c LAVS; RS 3 452). La 10e révision de la LAVS a introduit le système dit du splitting qui prévoit que les revenus réalisés par les époux pendant les années civiles de mariage commun sont répartis et attribués pour moitié à chacun d'eux. D'après l'art. 29quinquies al. 3 LAVS, la répartition est effectuée lorsque les deux conjoints ont droit à la rente (let. a), lorsqu'une veuve ou un veuf a droit à une rente de vieillesse (let. b) ou lorsque le mariage est dissous par le divorce (let. c). Dans ce contexte, l'exemption de cotiser dont bénéficiaient les épouses et les veuves sans activité lucrative a été supprimée et remplacée par la fiction de l'art. 3 al. 3 let. a LAVS, selon laquelle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 montant permet de garantir que chaque époux puisse inscrire à son compte individuel au moins le montant de la cotisation minimale, de sorte que l'année correspondante puisse être comptée comme année de cotisations (ATF 126 V 417 consid. 3 p. 419 et les références ; arrêt du Tribunal fédéral 9C_1039/2008 du 10 décembre 2009). Ne sont toutefois soumis au partage et à l'attribution réciproque entre les conjoints que les revenus réalisés pendant les périodes où les deux conjoints ont été assurés auprès de l'assurance-vieillesse et survivants suisse (art. 29quiquies al. 4 let. b LAVS). De même, seules les personnes assurées peuvent prétendre aux bonifications pour tâches éducatives ou d'assistance, ainsi qu'à la répartition par moitié entre les conjoints de celles attribuées pendant les années de mariage (art 29sexies al. 1 et 3 LAVS; art 29septies al. 1, 3 let. b et 6 LAVS ; arrêt du Tribunal fédéral H_84/2005 du 26 juillet 2006). Ainsi, selon l’art. 29 sexies al. 1 let b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lorsqu’un seul des parents est assuré auprès de l’assurance-vieillesse et survivants suisse (al. 1 let. b). Selon l’art. 52 f. al 4 du règlement sur l'assurance-vieillesse et survivants du 31 octobre 1947 (RAVS - RS 831.101), concernant les années où le conjoint n'était pas assuré auprès de l'assurance-vieillesse et survivants suisse, il est prévu d'attribuer la bonification pour tâches éducatives entière au parent assuré.</w:t>
      </w:r>
    </w:p>
    <w:p>
      <w:r>
        <w:t>A/2504/2017 - 6/8 - c. Selon le chiffre 5114 des directives concernant les rentes de l’assurance- vieillesse, survivants et invalidité fédérale, en vigueur dès le 1er janvier 2003 (DR), les années civiles durant lesquelles seul un des conjoints était assuré ne sont pas soumises au splitting. Cela concerne par exemple les frontaliers ou les personnes au bénéfice d’un permis de séjour de courte durée L lorsque seul un des conjoints exerce une activité lucrative en Suisse. Selon le chiffre 5419 DR, les bonifications pour tâches éducatives ne peuvent être attribuées que si les parents étaient assurés conformément à l'art. 1a, al. 1 à 4, ou à l'art. 2 LAVS. Il n’est pas nécessaire que l’obligation de cotiser des parents ou de l’un d’entre eux ait effectivement été remplie pendant cette période.</w:t>
      </w:r>
    </w:p>
    <w:p>
      <w:r>
        <w:rPr>
          <w:b/>
        </w:rPr>
        <w:t>E. 5</w:t>
      </w:r>
    </w:p>
    <w:p>
      <w:r>
        <w:t>a. En l’espèce, la recourante, domiciliée en France durant les années litigieuses, sans exercer d’activité lucrative en Suisse, n’était pas assurée obligatoirement selon la LAVS (art. 1 al. 1 aLAVS en vigueur en 1992) ; la recourante n’a pas non plus requis son affiliation à l’assurance facultative (art. 2 aLAVS). En conséquence, en l’absence d’une affiliation à la LAVS, la recourante ne peut prétendre au partage des revenus pour la période litigieuse, ni à l’attribution de bonifications pour tâches éducatives et cela nonobstant le fait que les arguments soulevés par la recourante quant à la situation précaire des femmes qui cessent de travailler pour s’occuper des enfants, comme cela a été son cas, ne sont pas dénués de pertinence. b. La recourante admet qu’elle n’était pas assurée à la LAVS durant la période en cause mais invoque la protection de sa bonne foi, dans le sens que la CCGC lui aurait donné un renseignement erroné, courant 1991, quant à la possibilité de rester affiliée à la LAVS après son départ pour la France, par le biais des cotisations de son époux, de sorte qu’elle n’avait pas pris d’autres dispositions, comme une affiliation à l’assurance facultative prévue par la LAVS.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131 V 472 consid. 5 p. 480; 129 I</w:t>
      </w:r>
    </w:p>
    <w:p>
      <w:r>
        <w:t>A/2504/2017 - 7/8 - 161 consid. 4.1 p. 170; 122 II 113 consid. 3b/cc p. 123 et les références ; arrêt du Tribunal fédéral 8C_104/2011 du 2 décembre 2011). En l’occurrence, un renseignement erroné donné par la CCGC ne saurait être établi, au degré de la vraisemblance prépondérante, sur la seule allégation de la recourante. Vu l’ancienneté des faits (1991), une instruction auprès de la CCGC afin d’établir l’existence d’un renseignement donné oralement à la recourante apparaît vaine. En conséquence, celle-ci ne peut se prévaloir du droit à la protection de sa bonne foi. Par ailleurs, s’agissant de cotisations arriérées que la recourante entendrait verser à la caisse rétroactivement, il convient de relever qu’un renseignement erroné de la part de la CCGC, donné courant 1991, n’ouvre pas la possibilité de s’acquitter de cotisation pour la période 1992 – 1997, qui sont largement périmées (art. 16 al 1 LAVS ; ATF 100 V 154).</w:t>
      </w:r>
    </w:p>
    <w:p>
      <w:r>
        <w:rPr>
          <w:b/>
        </w:rPr>
        <w:t>E. 6</w:t>
      </w:r>
    </w:p>
    <w:p>
      <w:r>
        <w:t>Partant, le recours ne peut qu’être rejeté.</w:t>
      </w:r>
    </w:p>
    <w:p>
      <w:r>
        <w:rPr>
          <w:b/>
        </w:rPr>
        <w:t>E. 7</w:t>
      </w:r>
    </w:p>
    <w:p>
      <w:r>
        <w:t>Pour le surplus, la procédure est gratuite.</w:t>
      </w:r>
    </w:p>
    <w:p>
      <w:r>
        <w:t>A/2504/2017 - 8/8 -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