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ATAS/265/2015 vom 14. April 2015</w:t>
      </w:r>
    </w:p>
    <w:p>
      <w:r>
        <w:t>GE Cour de justice, 2015-04-14, FR</w:t>
      </w:r>
    </w:p>
    <w:p>
      <w:r>
        <w:rPr>
          <w:b/>
        </w:rPr>
        <w:t xml:space="preserve">Quelle: </w:t>
      </w:r>
      <w:r>
        <w:t>https://mcp.opencaselaw.ch/entscheid/ge_gerichte_ATAS_265_2015</w:t>
      </w:r>
    </w:p>
    <w:p>
      <w:r>
        <w:t>FR: GE_GERICHTE ATAS/265/2015 du 14 avril 2015</w:t>
      </w:r>
    </w:p>
    <w:p>
      <w:r>
        <w:t>IT: GE_GERICHTE ATAS/265/2015 del 14 aprile 2015</w:t>
      </w:r>
    </w:p>
    <w:p>
      <w:pPr>
        <w:pStyle w:val="Heading2"/>
      </w:pPr>
      <w:r>
        <w:t>Erwägungen</w:t>
      </w:r>
    </w:p>
    <w:p>
      <w:r>
        <w:rPr>
          <w:b/>
        </w:rPr>
        <w:t>E. 14</w:t>
      </w:r>
    </w:p>
    <w:p>
      <w:r>
        <w:t>Pour évaluer le taux d'invalidité, le revenu que l'assuré aurait pu obtenir s'il n'était pas invalide est comparé avec celui qu'il pourrait obtenir en exerçant l'activité qui</w:t>
      </w:r>
    </w:p>
    <w:p>
      <w:r>
        <w:t>A/3241/2009 - 54/59 -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administratif fédéral I 168/05 du 24 avril 2006 consid. 3.3 et B 80/01 du 17 octobre 2003 consid. 5.2.2).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w:t>
      </w:r>
    </w:p>
    <w:p>
      <w:r>
        <w:t>A/3241/2009 - 55/59 -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15</w:t>
      </w:r>
    </w:p>
    <w:p>
      <w:r>
        <w:t>En l’espèce, l’intimé a considéré que la capacité de travail de la recourante était de 100% dans une activité adaptée, avec une diminution de rendement de 20%. Son degré d’invalidité était de 33,7%, arrondi à 34%, en comparant son revenu sans invalidité avec le revenu statistique qu’elle pourrait obtenir, malgré son atteinte à la santé, grâce à une activité nécessitant des connaissances professionnelles spécialisées (niveau de qualification 3 sur 4), dans le secteur du secrétariat et des travaux de chancellerie, dans le public ou le privé (ESS 2002 tableau TA7, n° 22). Or, d’après la jurisprudence, il convient en règle générale de se fonder sur les salaires mensuels indiqués à la ligne « total secteur privé » du tableau TA1 des ESS. On peut s’écarter de ces salaires lorsque les circonstances du cas concret permettent de considérer que le choix d’un autre salaire statistique permet à l'assuré de mettre pleinement à profit sa capacité résiduelle de travail ou de fixer plus précisément le revenu d'invalide. En l’occurrence, le choix de l’intimé de se fonder sur le tableau TA7, en particulier sur le salaire du secteur du secrétariat et des travaux de chancellerie, ne repose sur aucune base concrète, ni aucun élément du dossier. En effet, rien ne permet de considérer que l’on devrait s’écarter du tableau TA1. De plus, les conclusions du service de réadaptation de l’intimé sont contradictoires. En effet, il considère que la recourante exerce en qualité de secrétaire depuis 1996 et qu’elle peut se reclasser dans le domaine du secrétariat. Or l’expertise de la Dresse W______, sur laquelle se fonde le service de réadaptation, indique que la capacité de travail de la recourante dans son activité habituelle n’est que de 50%. Quant au choix du niveau de qualification, s’il n’apparaît pas dénué de pertinence, compte tenu du niveau de formation et d’expérience de la recourante, il conviendra de déterminer concrètement si la nouvelle activité adaptée de cette dernière lui permet de mettre à profit les études qu’elle a suivies. Si tel n’est pas le cas, il n’est pas exclu qu’un niveau de qualification plus faible doive être retenu.</w:t>
      </w:r>
    </w:p>
    <w:p>
      <w:r>
        <w:t>A/3241/2009 - 56/59 - Compte tenu de ce qui précède la décision querellée sera annulée et la cause sera renvoyée à l’intimé afin qu’il procède à un nouveau calcul du degré d’invalidité et détermine le droit aux prestations de la recourante. La chambre de céans relève que compte tenu de la quotité des salaires statistiques du tableau TA1 et de celui retenu à tort par l’intimé dans son calcul du degré d’invalidité, le degré d’invalidité de la recourante est supérieur à 20% - sous réserve d’une activité adaptée permettant de générer un revenu supérieur à celui de l’activité habituelle.</w:t>
      </w:r>
    </w:p>
    <w:p>
      <w:r>
        <w:rPr>
          <w:b/>
        </w:rPr>
        <w:t>E. 16</w:t>
      </w:r>
    </w:p>
    <w:p>
      <w:r>
        <w:t>Reste à examiner la question du droit à des mesures de réadaptation.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w:t>
      </w:r>
    </w:p>
    <w:p>
      <w:r>
        <w:t>A/3241/2009 - 57/59 - son invalidité a droit à la formation complète qui est nécessaire dans son cas, si sa capacité de gain peut ainsi, selon toute vraisemblance, être sauvegardée ou améliorée de manière notable (ATF 124 V 108 consid. 2a; VSI 1997 p. 85 consid. 1).</w:t>
      </w:r>
    </w:p>
    <w:p>
      <w:r>
        <w:rPr>
          <w:b/>
        </w:rPr>
        <w:t>E. 17</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18</w:t>
      </w:r>
    </w:p>
    <w:p>
      <w:r>
        <w:t>En l’espèce, l’intimé a considéré que la recourante pouvait travailler à 100%, avec une diminution de rendement de 20%, dans une activité adaptée de secrétaire, dont elle possédait toute les compétences, compte tenu de son emploi de secrétaire depuis 1996 et de sa formation commerciale. Contrairement à ce que soutient l’intimé, la recourante n’exerce pas la profession de secrétaire depuis 1996, mais celle de «forwarder» (personne s’occupant de l’exécution des contrats et du suivi des bateaux). Il en découle que la recourante, si elle devait se reconvertir dans le secrétariat, ne bénéficierait selon toute vraisemblance pas de toutes les compétences professionnelles requises sans une formation ou un stage approprié. En outre, retenir que la recourante serait en mesure de travailler en qualité de secrétaire peut apparaître contestable, sans une analyse concrète de la compatibilité de cette activité avec les limitations fonctionnelles retenues par le Dresse W______. Cela est d’autant plus vrai que la capacité de travail de la recourante dans son activité habituelle n’est que de 50%, car trop statique pour sa nuque en raison de l’utilisation prolongée d’un ordinateur. Or, de nos jours, tout poste de secrétaire implique une utilisation accrue d’un ordinateur, de sorte que l’on peut s’interroger sur la pertinence du choix de l’activité adaptée de l’intimé.</w:t>
      </w:r>
    </w:p>
    <w:p>
      <w:r>
        <w:t>A/3241/2009 - 58/59 - Enfin, compte tenu des limitations fonctionnelles de la recourante, le choix d’une nouvelle profession apparaît limité. Par conséquent, la cause doit être renvoyée à l’intimé, afin qu’il mette en œuvre une mesure d’orientation professionnelle destinée à évaluer concrètement dans quel domaine d’activité pourrait être réadaptée la recourante. A l’issue de cette mesure et en fonction des conclusions du service de réadaptation, il appartiendra à l’intimé de juger de l’opportunité de mettre en œuvre d’autres mesures, telles qu’un reclassement ou une aide au placement. Ce n’est qu’une fois qu’une ou plusieurs activités adaptées auront été déterminées que l’intimé pourra procéder au calcul du degré d’invalidité en se basant sur le revenu statistique adéquat (cf. supra consid. 15) et déterminer le droit au prestation de la recourante, en particulier si une rente d’invalidité est encore due et, le cas échéant, sa quotité. Dans la mesure où il est établi que l’état de santé de la recourante s’est considérablement amélioré depuis la décision du 10 août 2006, il est très vraisemblable que la rente d’invalidité de la recourante sera à tout le moins diminuée. Dès lors, et afin d’éviter que l’intimé ne doive s’acquitter d’une rente entière d’invalidité, dont une partie du montant devra être restituée par la recourante ultérieurement, la décision du 9 octobre 2008 relative à la suspension de la rente confirmée par l’arrêt du Tribunal cantonal des assurances sociales du 13 janvier 2009 (ATAS/22/2009) demeurera en vigueur jusqu’à ce qu’une décision entrée force tranche définitivement la question du droit à la rente de la recourante.</w:t>
      </w:r>
    </w:p>
    <w:p>
      <w:r>
        <w:rPr>
          <w:b/>
        </w:rPr>
        <w:t>E. 19</w:t>
      </w:r>
    </w:p>
    <w:p>
      <w:r>
        <w:t>Compte tenu de ce qui précède, le recours est partiellement admis. La recourante obtenant partiellement gain de cause et compte tenu de la nature de la procédure et de sa complexité, une indemnité de CHF 4’000.- lui sera accordée à titre de participation à ses frais et dépens (art. 61 let. g LPGA ; art. 6 du règlement sur les frais, émoluments et indemnités en procédure administrative du 30 juillet 1986 [RFPA - E 5 10.03]). La procédure en matière d’assurance-invalidité n'étant pas gratuite (art. 69 al. 1bis LAI), l’intimé sera condamné au paiement d’un émolument de CHF 500.-.</w:t>
      </w:r>
    </w:p>
    <w:p>
      <w:r>
        <w:t>A/3241/2009 - 59/59 -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