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ATAS/265/2013 vom 12. März 2013</w:t>
      </w:r>
    </w:p>
    <w:p>
      <w:r>
        <w:t>GE Cour de justice, 2013-03-12, FR</w:t>
      </w:r>
    </w:p>
    <w:p>
      <w:r>
        <w:rPr>
          <w:b/>
        </w:rPr>
        <w:t xml:space="preserve">Quelle: </w:t>
      </w:r>
      <w:r>
        <w:t>https://mcp.opencaselaw.ch/entscheid/ge_gerichte_ATAS_265_2013</w:t>
      </w:r>
    </w:p>
    <w:p>
      <w:r>
        <w:t>FR: GE_GERICHTE ATAS/265/2013 du 12 mars 2013</w:t>
      </w:r>
    </w:p>
    <w:p>
      <w:r>
        <w:t>IT: GE_GERICHTE ATAS/265/2013 del 12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s'applique à la décision de restitution du 21 juin 2011.</w:t>
      </w:r>
    </w:p>
    <w:p>
      <w:r>
        <w:rPr>
          <w:b/>
        </w:rPr>
        <w:t>E. 3</w:t>
      </w:r>
    </w:p>
    <w:p>
      <w:r>
        <w:t>Interjeté dans les forme et délai prévus par la loi, le recours est recevable (art. 56 ss LPGA).</w:t>
      </w:r>
    </w:p>
    <w:p>
      <w:r>
        <w:rPr>
          <w:b/>
        </w:rPr>
        <w:t>E. 4</w:t>
      </w:r>
    </w:p>
    <w:p>
      <w:r>
        <w:t>Le litige concerne le droit du SPC de réclamer à l'assuré la restitution des subsides d'assurance-maladie du 1er mai au 31 octobre 2011.</w:t>
      </w:r>
    </w:p>
    <w:p>
      <w:r>
        <w:rPr>
          <w:b/>
        </w:rPr>
        <w:t>E. 5</w:t>
      </w:r>
    </w:p>
    <w:p>
      <w:r>
        <w:t>a) Aux termes de l’art. 4 al. 1er let. a LPC, les personnes qui ont leur domicile et leur résidence habituelle (art. 13 LPGA) en Suisse ont droit à des prestations complémentaires, dès lors qu’elles ont droit à une rente de l’assurance-vieillesse et survivants (AVS). L’art. 3 al. 1er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les revenus déterminants.</w:t>
      </w:r>
    </w:p>
    <w:p>
      <w:r>
        <w:t>A/40/2013 - 5/8 - b) Pour les personnes vivant à domicile, les dépenses reconnues comprennent notamment les montant destinées à la couverture des besoins vitaux, le loyer d’un appartement et les frais accessoires y relatifs à concurrence du montant annuel maximum de 13'200 fr. pour les personnes seules (15'000 fr. pour les couples ou avec des enfants), le montant forfaitaire annuel pour l’assurance obligatoire des soins à hauteur du montant maximum de la prime moyenne cantonale ou régionale et les cotisations aux assurances sociales (cf. art. 10 LPC). Selon l’art. 11 al. 1 LPC, les revenus déterminants comprennent notamment le produit de la fortune mobilière et immobilière (let. b), un dixième de la fortune nette pour les bénéficiaires de rentes de vieillesse, dans la mesure où elle dépasse la franchise prévue par la loi (let. c), ainsi que les rentes AVS (let. d).</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 maladie. Selon l’art. 33 al. 1 LaLAMal, la restitution des subsides indûment touchés doivent être restitués en appliquant par analogie l’art. 25 LPGA.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w:t>
      </w:r>
    </w:p>
    <w:p>
      <w:r>
        <w:t>A/40/2013 - 6/8 -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t>A/40/2013 - 7/8 -</w:t>
      </w:r>
    </w:p>
    <w:p>
      <w:r>
        <w:rPr>
          <w:b/>
        </w:rPr>
        <w:t>E. 8</w:t>
      </w:r>
    </w:p>
    <w:p>
      <w:r>
        <w:t>En l'espèce, il est établi que le montant du loyer de l'assuré a été réduit par avis du 17 décembre 2010 de 13'716 fr./an à 13'440 fr./an dès le 1er mai 2011 et que l'assuré en a informé le SPC seulement par pli du 28 juin 2012, reçu le 2 juillet 2012. Les plans de calculs du SPC ne sont à juste titre pas contestés, car ils tiennent compte exactement des revenus et des dépenses admises par la LPC. Ainsi, c'est à bon droit que le SPC réclame l remboursement des prestations versées à tort du 1er mai au 31 octobre 2011. Il s'avère certes que la faible baisse de loyer (276 fr./an) a pour effet de faire passer l'assuré juste en-dessous du barème donnant droit au subside d'assurance-maladie. En effet, l'excédent de ressources (10'910 fr.) étant supérieur aux primes d'assurance-maladie (10'800 fr.), l'assuré n'a plus droit à aucune prestation. Cet effet de "seuil" a des conséquences économiques importantes, car une amélioration de la situation budgétaire de 276 fr./an a pour effet de priver l'assuré de la prise en charge des primes (10'800 fr.), ainsi que de la franchise et de la participation aux frais de maladie. Cela étant dit, telle est la volonté du législateur et ni le SPC, ni la Cour de céans ne peuvent s'écarter du texte clair de la loi. D'ailleurs, la presse s'est récemment fait l'écho de cet effet de seuil et il appartient - le cas échéant - au législateur d'y remédier. Au surplus, seules les dépenses expressément prévues par la loi peuvent être prises en compte dans les calculs du SPC et les frais de coiffeur, nourriture, habillement, divers sont inclus dans le forfait. Pour les bénéficiaires de prestations, les frais de transport (TPG), ainsi que les frais de maladie et de dentiste, sous réserve de leur adéquation, voire d'aide ménagère si elle est indispensable pour des raisons de santé, sont pris en charge et il est certain que lors de la suppression des prestations, ces charges grèvent à nouveau le budget. Ainsi, la demande de restitution des primes d'assurance-maladie versées de mai à octobre 2011 est bien fondée. Les motifs invoqués par l'assuré à l'appui de son recours relèvent au demeurant de la demande de remise, qui devra faire l'objet d'une décision distincte du SPC après que la décision de restitution soit définitive.</w:t>
      </w:r>
    </w:p>
    <w:p>
      <w:r>
        <w:rPr>
          <w:b/>
        </w:rPr>
        <w:t>E. 9</w:t>
      </w:r>
    </w:p>
    <w:p>
      <w:r>
        <w:t>Le recours, mal fondé, est donc rejeté.</w:t>
      </w:r>
    </w:p>
    <w:p>
      <w:r>
        <w:t>A/40/2013 - 8/8 -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