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ATAS/265/2011 vom 17. März 2011</w:t>
      </w:r>
    </w:p>
    <w:p>
      <w:r>
        <w:t>GE Cour de justice, 2011-03-17, FR</w:t>
      </w:r>
    </w:p>
    <w:p>
      <w:r>
        <w:rPr>
          <w:b/>
        </w:rPr>
        <w:t xml:space="preserve">Quelle: </w:t>
      </w:r>
      <w:r>
        <w:t>https://mcp.opencaselaw.ch/entscheid/ge_gerichte_ATAS_265_2011</w:t>
      </w:r>
    </w:p>
    <w:p>
      <w:r>
        <w:t>FR: GE_GERICHTE ATAS/265/2011 du 17 mars 2011</w:t>
      </w:r>
    </w:p>
    <w:p>
      <w:r>
        <w:t>IT: GE_GERICHTE ATAS/265/2011 del 17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 prescrits par la loi, le présent recours est recevable (art. 56 à 61 LPGA).</w:t>
      </w:r>
    </w:p>
    <w:p>
      <w:r>
        <w:rPr>
          <w:b/>
        </w:rPr>
        <w:t>E. 3</w:t>
      </w:r>
    </w:p>
    <w:p>
      <w:r>
        <w:t>Est litigieuse la question de savoir si c’est à juste titre que l’intimé a refusé d’entrer en matière sur la nouvelle demande de prestations du recourant.</w:t>
      </w:r>
    </w:p>
    <w:p>
      <w:r>
        <w:rPr>
          <w:b/>
        </w:rPr>
        <w:t>E. 4</w:t>
      </w:r>
    </w:p>
    <w:p>
      <w:r>
        <w:t>a) Selon l’art. 17 al. 1er LPGA, si le taux d’invalidité du bénéficiaire de la rente subit une modification notable, la rente est, d’office ou sur demande, révisée pour l’avenir, à savoir augmentée ou réduite en conséquence, ou encore supprimée. L’entrée en vigueur de l’art. 17 LPGA, le 1er janvier 2003, n’a pas apporté de modification aux principes jurisprudentiels développés sous le régime de l’ancien art. 41 LAI, de sorte que ceux-ci demeurent applicables par analogie (ATF 130 V 343 consid. 3.5).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A/1866/2010 - 7/10 - allégations de l’assuré que le laps de temps qui s’est écoulé depuis sa décision antérieure est bref. Elle jouit sur ce point d’un certain pouvoir d’appréciation que le juge doit en principe respecter (ATF 109 V 114 consid. 2b). Dans un arrêt du 16 octobre 2003 (ATF 130 V 64),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cette procédure,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par exemple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w:t>
      </w:r>
    </w:p>
    <w:p>
      <w:r>
        <w:t>A/1866/2010 - 8/10 - Enfin,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w:t>
      </w:r>
    </w:p>
    <w:p>
      <w:r>
        <w:rPr>
          <w:b/>
        </w:rPr>
        <w:t>E. 5</w:t>
      </w:r>
    </w:p>
    <w:p>
      <w:r>
        <w:t>En l’espèce, il convient de comparer la situation prévalant lors de la décision du</w:t>
      </w:r>
    </w:p>
    <w:p>
      <w:r>
        <w:rPr>
          <w:b/>
        </w:rPr>
        <w:t>E. 10</w:t>
      </w:r>
    </w:p>
    <w:p>
      <w:r>
        <w:t>avril 2007 et celle lors de la décision du 26 avril 2010, laquelle confirme le refus d’entrer en matière sur la nouvelle demande de prestations déposée par le recourant en date du 12 janvier 2010. Le 10 avril 2007, l’intimé a nié au recourant tout droit à une rente d’invalidité ou à des mesures professionnelles. Cette décision se fondait notamment sur les rapports radiologiques des 24 février et 4 août 2005 et sur les rapports des médecins de la CRR et du médecin-conseil de l’assureur-accidents. D’une part, les rapports radiologiques mettaient essentiellement en exergue une discopathie modérée en D12-L1, L1-L2, L3-L4 et L4-L5, ainsi qu’un début de lombarthrose. D’autre part, les médecins de la CRR et le médecin-conseil de l’assureur-accidents avaient retenu les diagnostics de lombalgies chroniques et de fracture-tassement consolidée de L1; ils avaient préconisé d'éviter les positions et mouvements sollicitant le rachis lombaire. Les médecins avaient conclu à une totale incapacité de l'assuré à exercer son ancienne activité de maçon, mais à une capacité de travail de 100% dans une activité adaptée aux limitations fonctionnelles. Dans le cadre de sa nouvelle demande de prestations, le recourant ne fait pas explicitement état d’une modification de son état de santé, mais il produit une nouvelle pièce médicale, à savoir le rapport d’IRM établi en date du 8 avril 2009. Ce rapport met en exergue de multiples atteintes, soit une anomalie de signal étagée des coins essentiellement antéro-supérieurs des quatre dernières vertèbres lombaires évoquant des remaniements post-inflammatoires de signal actuellement graisseux et d’éventuelles lésions de Romanus post-inflammatoires, une discopathie L4-L5 sous forme d’un pincement, une dessiccation discale, une déchirure de l’anneau fibreux postéro-médian, une protrusion postéro-médiane et para-médiane droite refoulant légèrement la racine L5 droite à son émergence récessale, une dessiccation discale L5-S1, une protrusion postéro-médiane de petite taille sans conflit discoradiculaire objectivé ainsi qu’une arthrose facettaire postérieure L3-L4, L4-L5 et L5-S1. Il est vrai que ce rapport ne suffit pas pour déterminer quelles sont les répercussions de ces atteintes sur la capacité de travail du recourant. Toutefois, il mentionne de nouvelles atteintes objectives qui, hormis la discopathie en L4-L5 et une lombarthrose, n'étaient pas mentionnées lors des précédents examens radiologiques.</w:t>
      </w:r>
    </w:p>
    <w:p>
      <w:r>
        <w:t>A/1866/2010 - 9/10 - La Dresse F__________ a d'ailleurs admis que les troubles évoqués pouvaient découler soit d’une évolution naturelle liée à l’âge du recourant soit d’une aggravation de son état de santé. Au vu des éléments objectifs mis en évidence par l’IRM du mois d’avril 2009 et de l’avis de la Dresse F__________, il faut donc considérer que le recourant a rendu l'aggravation de son état de santé plausible. L’intimé se devait dès lors d’entrer en matière et de réclamer au médecin traitant de l'assuré des informations complémentaires sur l'influence des nouvelles atteintes mises en évidence sur la capacité de travail de son patient, de sorte à confirmer ou infirmer l'aggravation alléguée. Au lieu de cela, la Dresse F__________ s’est contentée d'exclure toute aggravation - après avoir admis que celle-ci pouvait être une éventualité - sans même se prononcer sur l'importance des atteintes mises en évidence par l’IRM. Il se justifie dès lors d’admettre partiellement le recours en ce sens. La cause sera renvoyée à l'intimé, à charge pour ce dernier d’instruire plus avant la question de l'influence des nouvelles atteintes sur la capacité de travail de l'assuré. Dans la mesure où la procédure de recours cantonale en matière de contestations portant sur l’octroi ou le refus de prestations de l’AI est soumise à des frais de justice, un émolument de 100 fr. sera mis à la charge de l’OAI (art. 69 al. 1bis LAI). L’assuré, qui obtient gain de cause, a droit à des dépens, qui seront fixés en l’espèce à 850 fr. (art. 61 let. g LPGA).</w:t>
      </w:r>
    </w:p>
    <w:p>
      <w:r>
        <w:t>A/1866/2010 - 10/10 -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