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ATAS/265/2010 vom 4. März 2010</w:t>
      </w:r>
    </w:p>
    <w:p>
      <w:r>
        <w:t>GE Cour de justice, 2010-03-04, FR</w:t>
      </w:r>
    </w:p>
    <w:p>
      <w:r>
        <w:rPr>
          <w:b/>
        </w:rPr>
        <w:t xml:space="preserve">Quelle: </w:t>
      </w:r>
      <w:r>
        <w:t>https://mcp.opencaselaw.ch/entscheid/ge_gerichte_ATAS_265_2010</w:t>
      </w:r>
    </w:p>
    <w:p>
      <w:r>
        <w:t>FR: GE_GERICHTE ATAS/265/2010 du 4 mars 2010</w:t>
      </w:r>
    </w:p>
    <w:p>
      <w:r>
        <w:t>IT: GE_GERICHTE ATAS/265/2010 del 4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w:t>
      </w:r>
    </w:p>
    <w:p>
      <w:r>
        <w:t>A/3975/2009 - 5/7 -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le recourant allègue avoir reçu la décision du 28 septembre 2009 le</w:t>
      </w:r>
    </w:p>
    <w:p>
      <w:r>
        <w:rPr>
          <w:b/>
        </w:rPr>
        <w:t>E. 5</w:t>
      </w:r>
    </w:p>
    <w:p>
      <w:r>
        <w:t>Conformément à l’art. 87 al. 3 et 4 RAI,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 dire quand l'administration a refusé d'entrer en matière en se fondant sur l'art. 87</w:t>
      </w:r>
    </w:p>
    <w:p>
      <w:r>
        <w:t>A/3975/2009 - 6/7 - al. 4 RAI et que l'assuré a interjeté recours pour ce motif. Ce contrôle par l'autorité judiciaire n'est en revanche pas nécessaire lorsque l'administration est entrée en matière sur la nouvelle demande (ATF 109 V 114 consid. 2b).</w:t>
      </w:r>
    </w:p>
    <w:p>
      <w:r>
        <w:rPr>
          <w:b/>
        </w:rPr>
        <w:t>E. 6</w:t>
      </w:r>
    </w:p>
    <w:p>
      <w:r>
        <w:t>En l’espèce, le Tribunal relève que la seconde demande de prestations du recourant ne mentionne que ses affections cardiaques, de sorte que l’OAI ne pouvait imaginer que le recourant souffre également de troubles d’ordre rhumatologiques. S’ajoute à cela que les différents avis médicaux portés au dossier jusqu’à la décision litigieuse ne mentionnent pas d’autre affection que les affections cardiaques. Or, selon l’avis médical du Dr BUS TOS du 7 avril 2009 : « En conclusion il n’y a pas d’aggravation du gradient au niveau de la prothèse valvulaire aortique et les autres valvulopathies restent stables. De même la fonction systolique ventriculaire gauche reste modérément diminuée. ». L’OAI était ainsi fondé à considérer que l’état médical n’avait pas évolué. De la sorte, le refus d’entrer en matière était manifestement fondé.</w:t>
      </w:r>
    </w:p>
    <w:p>
      <w:r>
        <w:rPr>
          <w:b/>
        </w:rPr>
        <w:t>E. 7</w:t>
      </w:r>
    </w:p>
    <w:p>
      <w:r>
        <w:t>Dans le cadre de la procédure de recours et pour la première fois, le recourant fait état de troubles rhumatologiques. Ces troubles ne font ainsi pas partie de l’objet du litige de sorte qu’il ne saurait en être tenu compte. De surcroît, il faut constater que le recourant ne les a pas invoqués pour rendre plausible que son invalidité s'est modifiée de manière à influencer ses droits. Ainsi, le recourant sera-t-il renvoyé, s’il s’y estime fondé, à déposer une nouvelle demande sur la base des troubles rhumatologiques dont il semble souffrir.</w:t>
      </w:r>
    </w:p>
    <w:p>
      <w:r>
        <w:rPr>
          <w:b/>
        </w:rPr>
        <w:t>E. 8</w:t>
      </w:r>
    </w:p>
    <w:p>
      <w:r>
        <w:t>Le recours sera ainsi rejeté.</w:t>
      </w:r>
    </w:p>
    <w:p>
      <w:r>
        <w:rPr>
          <w:b/>
        </w:rPr>
        <w:t>E. 9</w:t>
      </w:r>
    </w:p>
    <w:p>
      <w:r>
        <w:t>Le recourant plaidant au bénéfice de l’assistance juridique, il sera renoncé à la perception d’un émolument pour les frais de justice (art. 6 let. a du règlement sur l’assistance juridique du 13 mars 1996 ; art. 69 al. 1bis LAI).</w:t>
      </w:r>
    </w:p>
    <w:p>
      <w:r>
        <w:t>A/3975/2009 - 7/7 -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