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ATAS/265/2008 vom 5. März 2008</w:t>
      </w:r>
    </w:p>
    <w:p>
      <w:r>
        <w:t>GE Cour de justice, 2008-03-05, FR</w:t>
      </w:r>
    </w:p>
    <w:p>
      <w:r>
        <w:rPr>
          <w:b/>
        </w:rPr>
        <w:t xml:space="preserve">Quelle: </w:t>
      </w:r>
      <w:r>
        <w:t>https://mcp.opencaselaw.ch/entscheid/ge_gerichte_ATAS_265_2008</w:t>
      </w:r>
    </w:p>
    <w:p>
      <w:r>
        <w:t>FR: GE_GERICHTE ATAS/265/2008 du 5 mars 2008</w:t>
      </w:r>
    </w:p>
    <w:p>
      <w:r>
        <w:t>IT: GE_GERICHTE ATAS/265/2008 del 5 marzo 2008</w:t>
      </w:r>
    </w:p>
    <w:p>
      <w:pPr>
        <w:pStyle w:val="Heading2"/>
      </w:pPr>
      <w:r>
        <w:t>Erwägungen</w:t>
      </w:r>
    </w:p>
    <w:p>
      <w:r>
        <w:rPr>
          <w:b/>
        </w:rPr>
        <w:t>E. 39</w:t>
      </w:r>
    </w:p>
    <w:p>
      <w:r>
        <w:t>Complétant son recours le 6 novembre 2007, Monsieur G________ persiste dans les termes de son recours et conclut à l’octroi d’une rente invalidité de 50%.</w:t>
      </w:r>
    </w:p>
    <w:p>
      <w:r>
        <w:t>A/3121/2007 - 10/17 -</w:t>
      </w:r>
    </w:p>
    <w:p>
      <w:r>
        <w:t>EN DROIT</w:t>
      </w:r>
    </w:p>
    <w:p>
      <w:r>
        <w:t>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 2. Interpellé par le Tribunal de céans, le 20 août 2007 au sujet de la preuve de la réception de la décision du 13 juin 2007 (récépissé de la poste), l’OCAI ne s’est pas prononcé à ce sujet. Considérant que la décision de l’OCAI a été reçue le 18 juin 2007, interjeté dans les forme et délai légaux, le recours est recevable (art. 56 à 60 LPGA) 3.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15 juin 2007, est postérieure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 voir également ATF 130 V 329). 4. Le litige porte essentiellement sur la spécialisation des experts et des médecins du SMR au sujet de l’appréciation du degré de capacité de travail et sur la question du caractère invalidant de la fibromyalgie dont souffre le recourant. Dans son arrêt du 23 février 2006, le Tribunal fédéral des assurances a bien mis en évidence la nécessité de compléter l’instruction du dossier notamment par une</w:t>
      </w:r>
    </w:p>
    <w:p>
      <w:r>
        <w:t>A/3121/2007 - 11/17 - expertise pluridisciplinaire qui devait comporter, en tout cas, un volet rhumatologique et psychiatrique. Dans un arrêt du 21 avril 2004 (I 621/03), le Tribunal fédéral des assurances a rappelé que les constatations faites par les spécialistes du COMAI revêtent plus de poids que l’appréciation de l’incapacité de travail par les médecins traitants de l’assuré. Force est de constater que l’OCAI a, en raison de l’insistance du recourant, indiqué que les médecins du SMR qui ont critiqué l’expertise, avaient une formation d’anesthésistes qui n’est pas une spécialisation comme pouvait l’entendre le Tribunal fédéral des assurances qui renvoyait la cause à l’OCAI pour instruction complémentaire, notamment par une expertise pluridisciplinaire menée, en particulier, par un rhumatologue et par un psychiatre. Il convient donc de se référer aux conclusions des experts mandatés par le COMAI. En outre, le Tribunal fédéral a encore précisé que « quand bien même le diagnostic de fybromyalgie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être exigible de sa part (voir aussi HENNINGSEN, Zur Begutachtung somatoformer Störengen in Praxis 94/2005, p. 2007 ss). » (ATF 132 V 65 consid. 4.3.) Cette expertise, menée sous l’égide de la POLYCLINIQUE MÉDICALE UNIVERSITAIRE de Lausanne, fonctionnant comme COMAI, par le Dr. B_________, médecin interniste, le Dr. C_________, psychiatre et le Dr. D_________ rhumatologue aboutit à la conclusion d’une capacité résiduelle, dans une activité adaptée, et non plus dans l'ancienne activité, exigible à un taux de l’ordre de 50%. La capacité de travail a été nulle depuis le mois de septembre 2000 et est de 50 % probablement depuis le deuxième trimestre de l'année 2001. L'activité adaptée est un travail simple, physiquement léger et qui respecte les limitations fonctionnelles décrites. Les experts précisent encore que cette capacité résiduelle de 50% nécessite la poursuite du traitement médico-psychologique. Les experts relèvent encore que « l’importance des symptômes douloureux, leur intrusion dans tous les domaines existentiels de l’expertisé et leur évolution chronique, permettent de définir le diagnostic de syndrome douloureux somatoforme persistant, qui s’était révélé dès 2000, sous la forme d’un syndrome</w:t>
      </w:r>
    </w:p>
    <w:p>
      <w:r>
        <w:t>A/3121/2007 - 12/17 - fibromyalgique. Cette expertise, qui revêt pleine force probante, sera suivie. On rappellera en effet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5. L’art. 4 al.1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2000 p. 153 consid. 2a et les références ; ATFA non publié du 27 mars 2001 en la cause I 68/01).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du 27 mars 2001 en la cause I 68/01). Dans un arrêt récent non publié ATFA du 9 septembre 2003 en la cause I 423/03, le Tribunal fédéral des assurances a rappelé que, lorsqu’il s’était agi d’évaluer l’invalidité d’assurés souffrant de fibromyalgie, la jurisprudence s’était parfois inspirée des principes (cf. VSI 2000 p. 154-155 consid. 2c, 160-161 consid. 4b) qui s’appliquent pour apprécier le caractère invalidant de troubles somatoformes</w:t>
      </w:r>
    </w:p>
    <w:p>
      <w:r>
        <w:t>A/3121/2007 - 13/17 - douloureux (ATFA non publié du 10 mars 2003 en la cause I 721/02. et ATFA non publié du 9 octobre 2001 en la cause I 229/01). Le Tribunal fédéral s’était alors référé à l’opinion de D., médecin-chef du Service ambulatoire de la Clinique X., qui estimait que la fibromyalgie peut être assimilée à un trouble somatoforme, plus particulièrement au syndrome douloureux somatoforme persistant (« Peut-on encore poser le diagnostic de fibromyalgie ? », in : Revue médicale de la Suisse Romande 2001, p. 443 ss, sp. 446). La question de savoir si ces principes pouvaient s’appliquer tels quels en cas de fibromyalgie avait été laissée indécise, dès lors qu’un cumul de critères au sens de la jurisprudence n’était de toute manière pas réalisé. Selon la jurisprudence, des troubles somatoformes douloureux peuvent, dans certaines circonstances, provoquer une incapacité de travail (ATF 120 V 119).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la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 conformément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 und psychiatrische Gutachten, RSAS 1999, p. 1 ss et 105 ss, VSI 2000 p. 1555, ATFA non publié du 9 octobre 2001 en la cause I 229/01). Plus l’expert constate de facteurs limitatifs de la capacité de travail de l’assuré au plan psychique, plus il y a lieu de se montrer exigeant quant à la motivation qui doit figurer dans le rapport d’expertise sur l’existence et l’intensité des divers critères jurisprudentiels en matière de troubles somatoforme douloureux susceptibles de fonder un pronostic défavorable en ce qui concerne l’exigibilité d’une reprise d’activité professionnelle (ATFA non publié du 8 août 2002 en la cause I 787/01 consid. 3b in fine).</w:t>
      </w:r>
    </w:p>
    <w:p>
      <w:r>
        <w:t>A/3121/2007 - 14/17 - Le TFA a encore souligné qu’il est erroné de prétendre que seuls des troubles somatoformes douloureux liés à une comorbidité psychiatrique grave seraient susceptibles d'entraîner une invalidité au sens de la LAI. Une telle comorbidité constitue tout au plus l'un des critères, certes important, à prendre en considération dans le cadre d'une évaluation globale de la situation médicale (ATFA non publié du 6 mai 2002 en la cause I 275/01 et ATFA non publié du 8 août 2002 en la cause I 783/01) 6. En l’espèce, l’OCAI estime, sur la base du rapport du SMR qui ne peut notamment pas considérer le trouble de l’humeur comme comorbidité psychiatrique invalidante et, qu’en présence d’un syndrome douloureux somatoforme, il relève l’absence de trouble de la personnalité ou autre pathologie psychiatrique incapacitant et enfin met en exergue la discordance entre les plaintes et le status neurologique, que le recourant a une capacité normale de travail. Pour leur part, les experts mandatés par le COMAI, à savoir le Dr. B_________, médecin interniste, le Dr. C_________, psychiatre et le Dr. D_________ rhumatologue concluent, dans leur appréciation du cas, à l’existence d’un épisode dépressif moyen avec une composante anxieuse et un syndrome douloureux chronique. De plu, ils ont constaté que les plaintes concernant les douleurs rachidiennes et plus globalement les douleurs musculo-squelettiques diffuses persistaient. Enfin, les experts relèvent dans leur rapport que l’importance des symptômes douloureux, leur intrusion dans tous les domaines existentiels de l’expertisé et leur évolution chronique, permettent de définir le diagnostic de syndrome douloureux somatoforme persistant, qui s’est révélé dès 2000, sous la forme d’un syndrome fibromyalgique. En conclusion, les experts relèvent que les affections somatiques et psychiques ont une influence substantielle sur la capacité de travail de l’expertisé. Du fait des limitations fonctionnelles liées aux diagnostics médicaux, il convient de considérer que la capacité de travail résiduelle actuelle de l’expertisé, dans une activité adaptée, est effectivement limitée, mais reste exigible à un taux de l’ordre de 50%, ce depuis le 1er avril 2001. L’obtention de la capacité de travail résiduelle de 50% nécessite la poursuite du traitement médico-psychologique, ainsi qu'une aide au placement. L’adaptation de la médication pharmacologique pourrait laisser entrevoir une certaine amélioration en cas d’adhésion et de succès thérapeutique. 7.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Depuis l'entrée en</w:t>
      </w:r>
    </w:p>
    <w:p>
      <w:r>
        <w:t>A/3121/2007 - 15/17 -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8. En l'espèce, l'ancienne activité de conducteur de petites machines n'est plus possible selon les experts, une activité adaptée devant être simple et légère, et respecter les limitations fonctionnelles retenues. Par conséquent, le recours sera admis, et le dossier renvoyé à l'OCAI pour calcul du taux d'invalidité, étant précisé que le droit à la rente prendra effet au 1er septembre 2001, en application de l'article 29 LAI. 9. Le recourant qui obtient gain de cause a droit à des dépens qui seront fixé en l’espèce à 1'500 fr. Par ailleurs, la loi fédérale du 16 décembre 2005 modifiant la loi fédérale sur l'assurance-invalidité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A/3121/2007 - 16/17 -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