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ATAS/264/2024 vom 23. April 2024</w:t>
      </w:r>
    </w:p>
    <w:p>
      <w:r>
        <w:t>GE Cour de justice, 2024-04-23, FR</w:t>
      </w:r>
    </w:p>
    <w:p>
      <w:r>
        <w:rPr>
          <w:b/>
        </w:rPr>
        <w:t xml:space="preserve">Quelle: </w:t>
      </w:r>
      <w:r>
        <w:t>https://mcp.opencaselaw.ch/entscheid/ge_gerichte_ATAS_264_2024</w:t>
      </w:r>
    </w:p>
    <w:p>
      <w:r>
        <w:t>FR: GE_GERICHTE ATAS/264/2024 du 23 avril 2024</w:t>
      </w:r>
    </w:p>
    <w:p>
      <w:r>
        <w:t>IT: GE_GERICHTE ATAS/264/2024 del 23 aprile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Le délai de recours est de trente jours (art. 56 LPGA; art. 62 al. 1 de la loi sur la procédure administrative du 12 septembre 1985 [LPA - E 5 10]). Interjeté dans les formes et le délai prévus par la loi, le recours est recevable.</w:t>
      </w:r>
    </w:p>
    <w:p>
      <w:r>
        <w:rPr>
          <w:b/>
        </w:rPr>
        <w:t>E. 2</w:t>
      </w:r>
    </w:p>
    <w:p>
      <w:r>
        <w:t>Le litige porte sur le bien-fondé des décisions de cotisations rendues par l’intimée pour l’année 2014, singulièrement sur la prescription des prétentions de l’intimée.</w:t>
      </w:r>
    </w:p>
    <w:p>
      <w:r>
        <w:rPr>
          <w:b/>
        </w:rPr>
        <w:t>E. 3.1</w:t>
      </w:r>
    </w:p>
    <w:p>
      <w:r>
        <w:t>Selon l’art. 3 al. 1 LAVS, les assurés sont tenus de payer des cotisations tant qu’ils exercent une activité lucrative. Les personnes sans activité lucrative sont tenues de payer des cotisations à compter du 1er janvier de l’année qui suit la date à laquelle elles ont eu 20 ans;</w:t>
      </w:r>
    </w:p>
    <w:p>
      <w:r>
        <w:t>A/1900/2023 - 9/17 - cette obligation cesse à la fin du mois où les femmes atteignent l’âge de 64 ans, les hommes l’âge de 65 ans. Une cotisation de 8.1% est perçue sur le revenu provenant d’une activité indépendante (art. 8 al. 1 LAVS).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w:t>
      </w:r>
    </w:p>
    <w:p>
      <w:r>
        <w:rPr>
          <w:b/>
        </w:rPr>
        <w:t>E. 3.2</w:t>
      </w:r>
    </w:p>
    <w:p>
      <w:r>
        <w:t>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Elles le sont en principe également par les communications fiscales fondées sur des taxations d’office passées en force, bien que celles-ci soient moins précises que des taxations établies selon la procédure ordinaire, c’est-à-dire par rapport à des données concrètes (arrêt du Tribunal fédéral des assurances H 17/00 du</w:t>
      </w:r>
    </w:p>
    <w:p>
      <w:r>
        <w:rPr>
          <w:b/>
        </w:rPr>
        <w:t>E. 5</w:t>
      </w:r>
    </w:p>
    <w:p>
      <w:r>
        <w:t>décembre 2000 consid. 2 ; RCC 1988 p. 321 et les références ; ATAS/775/2014 du 25 juin 2014 consid. 6).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taxations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est, en effet, une tâche qui incombe aux autorités fiscales, et il n'appartient pas au juge des assurances sociales de procéder</w:t>
      </w:r>
    </w:p>
    <w:p>
      <w:r>
        <w:t>A/1900/2023 - 10/17 - lui-même à une taxation. L'assuré doit donc faire valoir ses droits en matière de taxation - avec les effets que celle-ci peut avoir sur le calcul des cotisations AVS - en premier lieu dans la procédure judiciaire fiscale (ATF np H 87/06du 21 mars 2007 ; ATF 110 V 86110 V 86 consid. 4 et 370 s. ; 106 V 130106 V 130 consid. 1; 102 V 30102 V 30 consid. 3a ; VSI 1997 p. 26 consid. 2b et la référence). 4. À teneur de l'art. 16 al. 1 LAVS, les cotisations dont le montant n'a pas été fixé par voie de décision dans un délai de cinq ans à compter de la fin de l'année civile pour laquelle elles sont dues ne peuvent plus être exigées, ni versées. S'il s'agit de cotisations visées notamment à l'art. 8 al. 1 LAVS, le délai n'échoit toutefois, en dérogation à l'art. 24 al. 1 LPGA, qu'un an après la fin de l'année civile au cours de laquelle la taxation fiscale déterminante est entrée en force. Par rapport au délai de l'art. 16 al. 1, 1ère phrase, LAVS, le délai d'une année de l'art. 16 al. 1, 2ème phrase, LAVS constitue un délai supplémentaire destiné à éviter que la caisse de compensation ne soit contrainte, pour interrompre le délai de prescription, de rendre une décision de cotisations avant que la taxation fiscale soit entrée en force (Michel VALTERIO, Droit de l'assurance-vieillesse et survivants [AVS] et de l'assurance-invalidité [AI], 2011, no 725, p. 214). La créance de cotisations, fixée par décision notifiée conformément à l'al. 1, s'éteint cinq ans après la fin de l'année civile au cours de laquelle la décision est passée en force (art. 16 al. 2 LAVS). L'art. 16 al. 1 LAVS s'applique notamment à la situation dans laquelle une procédure pour soustraction d'impôt a été mise en œuvre (au sens des art. 175 ss de la loi fédérale du 14 décembre 1990 sur l'impôt fédéral direct [LIFD; RS 642.11]). Si des cotisations doivent être prélevées sur un revenu taxé dans une procédure pour soustraction d'impôt, le délai d'un an de l'art. 16 al. 1, 2e phrase, LAVS ne prend naissance qu'après la fin de l'année civile au cours de laquelle la taxation fiscale déterminante est entrée en force (ATF 148 V 277 consid. 5.2; sur la simplification rédactionnelle de l'art. 16 al. 1, 2e phrase, LAVS, dans sa teneur en vigueur à partir du 1er janvier 2012 [suppression des termes « ou à la taxation consécutive à une procédure pour soustraction d'impôt »], voir arrêt 9C_736/2018 du 5 décembre 2018 consid. 2). Selon la jurisprudence constante du Tribunal fédéral – ainsi que la doctrine –, le délai institué par l'art. 16 al. 1, 2e phrase, LAVS est, malgré la teneur de la disposition et celle de son titre marginal, un délai de péremption et non pas de prescription. L'organe d'exécution de l'AVS est déchu du droit de fixer les cotisations (« Festsetzungsverwirkung ») s'il ne rend pas une décision dans le délai prévu d'un an après la fin de l'année civile au cours de laquelle la taxation fiscale déterminante est entrée en force (ATF 148 V 277 consid. 4.1 et références citées). La réglementation de la péremption du droit de fixer les cotisations en lien avec la taxation fiscale déterminante n'a pas été modifiée par l'entrée en vigueur de la LPGA. Sous l'angle de la « prescription » des cotisations, une dérogation à</w:t>
      </w:r>
    </w:p>
    <w:p>
      <w:r>
        <w:t>A/1900/2023 - 11/17 - l'art. 24 al. 1 LPGA a été prévue à l'art. 16 al. 1, 2e phrase, LAVS (cf. ATF 146 V 1 consid. 8.1), tandis qu'en relation avec la restitution, une dérogation à l'art. 25 LPGA a été introduite à l'art. 16 al. 3 LAVS (cf. rapport cité, FF 1999 4168, 4224 ch. 52). Le législateur fédéral a ainsi maintenu une règle spéciale permettant à l'organe d'exécution de la LAVS, dans les situations mentionnées par l'art. 16 al. 1, 2e phrase, LAVS, de fixer les cotisations devant être déterminées en fonction de la taxation fiscale dans un délai qui dépend de la date de l'entrée en force de cette taxation.</w:t>
      </w:r>
    </w:p>
    <w:p>
      <w:r>
        <w:rPr>
          <w:b/>
        </w:rPr>
        <w:t>E. 5.1</w:t>
      </w:r>
    </w:p>
    <w:p>
      <w:r>
        <w:t>Le fardeau de la preuve de la notification d'une décision ou d'une communication de l'administration et de sa date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(ATF 136 V 295 consid. 5.9 ; arrêt du Tribunal fédéral 2C_250/2018 du 26 octobre 2018 consid. 5.2 ; ATA/461/2018 du 8 mai 2018), dont la bonne foi est présumée (arrêt du Tribunal fédéral 1C_634/2015 du 26 avril 2016 consid. 2.1).</w:t>
      </w:r>
    </w:p>
    <w:p>
      <w:r>
        <w:rPr>
          <w:b/>
        </w:rPr>
        <w:t>E. 5.2</w:t>
      </w:r>
    </w:p>
    <w:p>
      <w:r>
        <w:t>L'autorité qui entend se prémunir contre le risque d'échec de la preuve de la notification doit communiquer ses actes judiciaires sous pli recommandé avec accusé de réception (ATF 129 I 8 consid. 2.2 ; ATA/492/2018 du 22 mai 2018 consid. 4b).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La prestation « Courrier A Plus » – « A+ » – offre également la possibilité de suivre le processus d’expédition du dépôt jusqu’à la distribution. Elle comporte également l’éventuelle réexpédition à une nouvelle adresse, ainsi que le retour des envois non distribuables. Lors de l’expédition par « Courrier A+ », l’expéditeur obtient des informations de dépôt, de tri et de distribution par voie électronique via le service en ligne « Suivi des envois ». Les envois « Courrier A+ » sont directement distribués dans la boîte aux lettres ou dans la case postale du destinataire. En cas d’absence, le destinataire ne reçoit pas d’invitation à retirer un envoi dans sa boîte aux lettres (ATF 142 III 599 consid. 2.1 ; ATA/725/2018 précité consid. 2b). 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2C_570/2011 du 24 janvier 2012 consid. 4.2 ; 2C_430/2009 précité</w:t>
      </w:r>
    </w:p>
    <w:p>
      <w:r>
        <w:t>A/1900/2023 - 12/17 - consid. 2 ; ATA/1593/2017 du 12 décembre 2017 consid. 3c ; ATA/222/2017 du 21 février 2017 consid. 4), y compris lorsque c’est un samedi (arrêt du Tribunal fédéral 8C_198/2015 précité consid. 3). Dans le cas du dépôt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 ATA/725/2018 précité consid. 2c confirmé par l'arrêt du Tribunal fédéral 2C_799/2018 du 21 septembre 2018). L'envoi sous pli simple ne permet en général pas d'établir que la communication est parvenue au destinataire (ATF 129 I 8 consid. 2.2 ; ATA/725/2018 du</w:t>
      </w:r>
    </w:p>
    <w:p>
      <w:r>
        <w:rPr>
          <w:b/>
        </w:rPr>
        <w:t>E. 10</w:t>
      </w:r>
    </w:p>
    <w:p>
      <w:r>
        <w:t>juillet 2018). La preuve de la notification peut toutefois résulter d’autres indices que des indications postales ou de l’ensemble des circonstances, par exemple d’un échange de correspondance ultérieur ou du comportement du destinataire ATF 142 IV 125, consid. 4.3 ; arrêt du Tribunal fédéral 2C_250/2018 consid. 5.2). 6.</w:t>
      </w:r>
    </w:p>
    <w:p>
      <w:r>
        <w:t>6.1 En l’espèce, l’intimée a adressé ses courriers et décisions à la recourante par pli simple et non par courrier recommandé ou courrier A+. Elle n’est ainsi pas en mesure d’apporter la preuve formelle de la notification de ses envois des 29 septembre et 22 novembre 2022 ni ne peut indiquer la date à laquelle les notifications seraient intervenues. En référence à l’arrêt 2C_250/2018 qu’elle cite, l’intimée considère cependant que la preuve de notification résulte de l’ensemble des circonstances du cas d’espèce, en particulier des correspondances ultérieures et du comportement de la destinataire. Elle remet en question la bonne foi de la recourante. La bonne foi étant cependant présumée, il convient d’examiner si les différents éléments et indices au dossier permettent de renverser cette présomption et d’inférer que la recourante a reçu les courriers des 29 septembre et 22 novembre 2022, bien qu’elle le conteste.</w:t>
      </w:r>
    </w:p>
    <w:p>
      <w:r>
        <w:t>A/1900/2023 - 13/17 - 6.2 L’intimée soutient tout d’abord qu’il est invraisemblable que la recourante n’ait pas reçu les courriers déterminants des 29 septembre et 22 novembre 2022 alors qu’elle a reçu toutes les missives antérieures et postérieures à ceux-ci. Elle considère que la situation de fait est identique à celle visée dans l’arrêt 2C_250/2018, arrêt dans lequel le Tribunal fédéral aurait considéré qu’un tel cas de figure serait « pratiquement inconcevable ». Si le Tribunal fédéral n’a pas lui-même qualifié la situation de « pratiquement inconcevable », ces termes étant ceux de la dernière instance cantonale, il a en revanche jugé que l’appréciation du Tribunal cantonal ne devait pas être qualifiée d’arbitraire, en soulignant qu’en dépit de l’insuffisance des critiques formulées par le recourant, l’on se trouvait face à un cas limite sous l’angle de l’interdiction de l’arbitraire, quand bien même l’arrêt querellé résistait à un tel grief. Notre Haute Cour a expliqué à cet égard que la possibilité de constater qu’un acte a été notifié sur la base de simples indices ne devait pas être admise trop facilement. Son application ne devait pas conduire à renverser la règle de base selon laquelle les autorités doivent en principe supporter les conséquences de l’absence de preuve directe de la notification d’une taxation et se fonder, dans une telle hypothèse, sur les déclarations du contribuable qui, à défaut, pourrait voir son droit de contester sa taxation vidé de son contenu. Ce n’est toutefois pas parce qu’une autre solution paraît concevable, voire préférable, qu'une décision est arbitraire (cf. ATF 144 III consid. 2 p. 146 ; 143 IV 241 consid. 2.3.1 p. 144) (arrêt 2C_250/2018 précité, consid. 5.6). Ensuite, l’état de fait ayant conduit à l’arrêt 2C_250/2018 faisait état de douze envois par plis simples, soit six décisions de taxation postées à une date et six bordereaux d’impôt à une autre. Ce nombre de courriers est ainsi beaucoup plus important que celui dont il est question dans la présente procédure, qui est vraisemblablement de trois plis simples, soit un du 29 septembre et deux (les décisions) du 22 novembre 2022. Si l’on ajoute au nombre limité des courriers concernés, le fait que certains dysfonctionnements de la Poste de Vésenaz ont été allégués et rendus vraisemblables, notamment par la production de deux courriers déposés à tort dans la boîte à lettre de la recourante le 23 janvier 2023 et par les déclarations détaillées du mari de la recourante, entendu à titre de renseignements, il n’apparaît pas inconcevable qu’aucun de ces trois courriers (dont deux envoyés le même jour) n’ait été distribué, voire même envoyé par l’intimée. En effet, au-delà de la problématique des services postaux, se pose la question de la fiabilité des services de l’intimée dans l’envoi de correspondances par pli simple. Alors que dans la décision sur opposition du 10 mai 2023 et sa réponse au recours, l’intimée fait état (et produit à la procédure) seulement deux courriers qui auraient été envoyés à l’intéressée le 22 novembre 2022, elle indique, au stade de ses observations du 31 janvier 2024 qu’il n’est pas « impossible que Madame ait pu recevoir 4 courriers distincts qui étaient partis de l’OCAS le 22 novembre</w:t>
      </w:r>
    </w:p>
    <w:p>
      <w:r>
        <w:t>A/1900/2023 - 14/17 - 2022 ». Dans ces mêmes observations, elle précise encore que « selon la procédure usuelle au sein de l’OCAS, la décision d’affiliation de Madame A______ est éditée de manière automatique par un logiciel spécifique et il est donc plus que probable que cette décision a fait l’objet d’un envoi séparé ». Le caractère approximatif de ces propos, cumulé au fait que l’intimée envoie parfois des milliers de décisions par jour en pli simple concernant la seule taxation des assurés (selon les propres dires de son représentant lors de sa comparution personnelle du 16 janvier 2024) et que les services postaux en général ne sont pas infaillibles, rendent plausibles qu’aucune des trois communications dont l’intimée entend se prévaloir ne soit parvenue à la destinataire. 6.3 Reste à examiner le comportement du destinataire de l’envoi, notamment les échanges de correspondance postérieurs à l’envoi, dont se prévaut l’intimée qui juge invraisemblable que la recourante soulève spontanément la prescription des prestations dans son courrier du 27 janvier 2023, sans qu’elle n’ait reçu et pris connaissance du courrier de l’intimée du 29 septembre 2022 qui indiquait expressément : « selon l’art. 16 alinéa 1 de la LAVS, le délai concernant les cotisations dont le montant n’a pas été fixé au sens de l’art. 8 al. 1 est d’un an après la fin de l’année civile au cours de laquelle la taxation fiscale déterminante est entrée en force ». Cela serait d’autant moins crédible que, dans son courrier du 27 janvier 2023, la recourante ferait une allusion au courrier du 29 septembre 2022 vu qu’elle écrit « selon ce que j’ai appris antérieurement, les prétentions dans l’hypothèse que vous évoquez, se périment un an après la fin de l’année civile au cours de laquelle la taxation fiscale est entrée en force ». « Antérieurement » et « dans l’hypothèse que vous évoquez » constitueraient ainsi des références directes au courrier du 29 septembre 2022, unique occurrence de la problématique de la prescription dans les correspondances entre les parties. La chambre de céans rappelle cependant que l’art. 16 al. 1 LAVS est une disposition légale, librement accessible par tout un chacun, et dont la recourante a pu prendre connaissance de multiples façons. Lors de son audition, l’époux de la recourante (qui se charge de tout l’administratif pour le couple) a expliqué avoir repris contact avec l’architecte en charge du projet immobilier de 2015 ainsi qu’avec son avocat, entre le courrier du 18 janvier 2023 de l’intimée à son épouse (pièce 14 rec.) et la réponse du 27 janvier 2023, dans laquelle la recourante invoque pour la première fois la prescription (pièce 15 rec.). Ce sont ces personnes qui lui auraient fait part, pour la première fois, de la problématique de la prescription. Son Conseil a d’ailleurs confirmé en audience avoir eu un entretien avec C______, le 25 janvier 2023, au sujet d’un autre dossier et avoir dû confirmer, lors de cet entretien, l’avis déjà émis par l’architecte au sujet du délai de péremption de la créance de l’intimée. La recourante avait en outre déjà annoncé le 12 janvier 2023 qu’elle prendrait conseil auprès d’une personne qualifiée lorsqu’elle aurait des précisions de la part</w:t>
      </w:r>
    </w:p>
    <w:p>
      <w:r>
        <w:t>A/1900/2023 - 15/17 - de l’intimée quant à la facture à laquelle le rappel du 3 janvier 2023 faisait référence (pièce 9 rec.). Elle n’avait par ailleurs pas invoqué la prescription dans ce courrier initial, sollicitant uniquement des explications relatives au rappel qui lui avait été adressé. Au vu de l’ensemble de ces éléments, la recourante a pu invoquer la prescription sans pour autant avoir reçu, ni pris connaissance du courrier du 29 septembre 2023. L’analyse par l’intimée du texte du courrier de la recourante du 27 janvier 2023 ne permet pas d’aboutir à une autre conclusion. En effet, au vu de la chronologie du litige et de l’ensemble du texte du courrier litigieux, il ne peut être établi que la formule « selon ce que j’ai appris antérieurement » fasse référence à des informations qui lui auraient spécifiquement été communiquées par l’intimée. Cette formule peut tout aussi bien faire référence aux dires de l’architecte ou du Conseil consultés. Quant à la locution « l’hypothèse que vous [l’intimée] évoquez », une analyse de l’entier du courrier où elle figure laisse apparaître que la recourante fait référence à sa situation globale vis-à-vis de la caisse. Dans la phrase précédente, elle utilise d’ailleurs, de manière plus limpide, la même tournure de phrase vu qu’elle stipule : « je ne suis pas rompue aux situations que vous évoquez, je ne comprends pas pour quel motif j’aurais à procéder à une affiliation aux assurances sociales depuis l’année 2015 » (cf. pièce 11 int.). La recourante a par ailleurs expressément indiqué, dans son courrier du 27 janvier 2023, que celui-ci était une réponse au pli de l’intimée du 18 janvier 2023 intitulé « votre situation vis-à-vis des assurances sociales » (cf. pièce 10 int.). La « situation » et les « hypothèses » auxquelles l’intéressée fait référence peuvent dès lors renvoyer directement à ce courrier. Compte tenu des explications fournies par la recourante dans ses écritures et par son époux en audience, les éléments soulevés par l’intimée ne suffisent pas à considérer que la recourante a bien reçu, en 2022, le courrier du 29 septembre 2022 de l’intimée évoquant la prescription. Enfin, dans le cadre de l’examen global des circonstances, la chambre relève encore que, contrairement à ce qui prévalait dans l’arrêt 2C_250/2018, il ne peut être reproché à la recourante d’avoir d’emblée invoqué la prescription sans chercher à savoir pourquoi elle était soudain sommée de payer des cotisations individuelles à l’intimée (cf. consid. 5.5). Au contraire, dans ses courriers des 6 juillet 2022, 31 août 2022, 12 janvier 2023 et 27 janvier 2023 (cf. pièces 3, 5, 9,</w:t>
      </w:r>
    </w:p>
    <w:p>
      <w:r>
        <w:rPr>
          <w:b/>
        </w:rPr>
        <w:t>E. 11</w:t>
      </w:r>
    </w:p>
    <w:p>
      <w:r>
        <w:t>int.), elle a toujours fait part de son incompréhension face aux prétentions de l’intimée. En particulier le 31 août 2022 (cf. pièce 5 int.), elle a expliqué de manière détaillée sa position et sollicité des explications complémentaires. Enfin, elle a réitéré sa demande de précisions « avant de prendre conseil auprès d’une personne qualifiée », le 12 janvier 2023, ce sans évoquer la prescription, alors que celle-ci était déjà acquise.</w:t>
      </w:r>
    </w:p>
    <w:p>
      <w:r>
        <w:t>A/1900/2023 - 16/17 - En résumé, faute d’un quelconque suivi d’envoi pour les courriers des 29 septembre et 22 novembre 2022, envoyés par plis simples et au vu des considérations qui viennent d’être développées, il existe un doute quant à la notification de ces courriers. L’intimée, qui doit supporter les conséquences de l'absence de preuve à cet égard, n’est ainsi pas parvenue à établir qu’elle a notifié à la recourante, avant le 1er janvier 2023, une décision relative à la fixation définitive de ses cotisations personnelles pour 2015. Elle n’a pas non plus été en mesure de renverser la présomption de bonne foi de la recourante concernant la non-réception des courriers des 29 septembre et 22 novembre 2022. Partant, les prétentions de l’intimée relatives à 2015, faisant suite à la taxation fiscale définitive du 26 janvier 2021, communiquée par l’AFC à l’intimée le 9 mars 2021 (cf. pièce 1 int.) sont prescrites depuis le 1er janvier 2023 (l’art. 16 al. 1 LAVS), la décision du 10 mai 2023 y relative (qualifiée à tort de décision sur opposition par l’intimée) étant tardive. 7. Le recours est admis. La recourante, représentée par un avocat et qui obtient gain de cause, se verra allouer un montant de CHF 3’500.- à titre de dépens. Pour le surplus, la procédure est gratuite (art. 61 let. fbis LPGA a contrario et 89H al. 1 LPA).</w:t>
      </w:r>
    </w:p>
    <w:p>
      <w:r>
        <w:t>A/1900/2023 - 17/17 -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