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ATAS/264/2022 vom 14. Dezember 2020</w:t>
      </w:r>
    </w:p>
    <w:p>
      <w:r>
        <w:t>GE Cour de justice, 2020-12-14, FR</w:t>
      </w:r>
    </w:p>
    <w:p>
      <w:r>
        <w:rPr>
          <w:b/>
        </w:rPr>
        <w:t xml:space="preserve">Quelle: </w:t>
      </w:r>
      <w:r>
        <w:t>https://mcp.opencaselaw.ch/entscheid/ge_gerichte_ATAS_264_2022</w:t>
      </w:r>
    </w:p>
    <w:p>
      <w:r>
        <w:t>FR: GE_GERICHTE ATAS/264/2022 du 14 décembre 2020</w:t>
      </w:r>
    </w:p>
    <w:p>
      <w:r>
        <w:t>IT: GE_GERICHTE ATAS/264/2022 del 14 dicembre 2020</w:t>
      </w:r>
    </w:p>
    <w:p>
      <w:pPr>
        <w:pStyle w:val="Heading2"/>
      </w:pPr>
      <w:r>
        <w:t>Erwägungen</w:t>
      </w:r>
    </w:p>
    <w:p>
      <w:r>
        <w:rPr>
          <w:b/>
        </w:rPr>
        <w:t>E. 12</w:t>
      </w:r>
    </w:p>
    <w:p>
      <w:r>
        <w:t>septembre 1985 (LPA - E 5 10), la procédure peut être suspendue lorsque son sort dépend de la solution d’une question de nature civile, pénale ou administrative pendante devant une autre autorité, jusqu’à droit connu sur ces questions. Qu’en l’espèce, il se justifie de suspendre la présente procédure jusqu’à droit connu dans la procédure A/4079/2020 pendante par-devant le Tribunal fédéral, l’arrêt rendu dans le cadre de cette dernière étant susceptible d'avoir une incidence sur la présente procédure, dans la mesure où la chambre de céans doit à nouveau se prononcer sur les conditions pour qu'un mineur non accompagné puisse obtenir des prétentions de l'OAI.</w:t>
      </w:r>
    </w:p>
    <w:p>
      <w:r>
        <w:t>***</w:t>
      </w:r>
    </w:p>
    <w:p>
      <w:r>
        <w:t>A/300/2021 - 3/3 -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