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ATAS/264/2019 vom 21. März 2019</w:t>
      </w:r>
    </w:p>
    <w:p>
      <w:r>
        <w:t>GE Cour de justice, 2019-03-21, FR</w:t>
      </w:r>
    </w:p>
    <w:p>
      <w:r>
        <w:rPr>
          <w:b/>
        </w:rPr>
        <w:t xml:space="preserve">Quelle: </w:t>
      </w:r>
      <w:r>
        <w:t>https://mcp.opencaselaw.ch/entscheid/ge_gerichte_ATAS_264_2019</w:t>
      </w:r>
    </w:p>
    <w:p>
      <w:r>
        <w:t>FR: GE_GERICHTE ATAS/264/2019 du 21 mars 2019</w:t>
      </w:r>
    </w:p>
    <w:p>
      <w:r>
        <w:t>IT: GE_GERICHTE ATAS/264/2019 del 21 marzo 2019</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A/4854/2017 - 7/11 -</w:t>
      </w:r>
    </w:p>
    <w:p>
      <w:r>
        <w:rPr>
          <w:b/>
        </w:rPr>
        <w:t>E. 2</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se limite à la question du bien-fondé de la prise en compte, par l’intimé, dans ses calculs du droit aux prestations du recourant, d’un montant à titre de gain potentiel pour son épouse, de mars 2009 à avril 2014.</w:t>
      </w:r>
    </w:p>
    <w:p>
      <w:r>
        <w:rPr>
          <w:b/>
        </w:rPr>
        <w:t>E. 5</w:t>
      </w:r>
    </w:p>
    <w:p>
      <w:r>
        <w:t>a) 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1’500 fr.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w:t>
      </w:r>
    </w:p>
    <w:p>
      <w:r>
        <w:t>A/4854/2017 - 8/11 -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6</w:t>
      </w:r>
    </w:p>
    <w:p>
      <w:r>
        <w:t>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w:t>
      </w:r>
    </w:p>
    <w:p>
      <w:r>
        <w:rPr>
          <w:b/>
        </w:rPr>
        <w:t>E. 8</w:t>
      </w:r>
    </w:p>
    <w:p>
      <w:r>
        <w:t>En l’espèce, le recourant soutient que son épouse ne pouvait travailler durant la journée durant la période considérée en raison du besoin qui est le sien de pouvoir bénéficier en permanence de son aide et de sa surveillance, compte tenu du handicap visuel dont il souffre. Il convient en premier lieu de rappeler que la période litigieuse se limite à mars 2009-avril 2014, date à laquelle l’épouse du recourant a atteint l’âge de la retraite. Or, durant cette période, il était suivi par la Dresse D_____, laquelle a indiqué expressément que l’état de son patient était demeuré inchangé entre 2006 et 2012. Dans sa demande d’allocation pour impotence du 28 avril 2006, l’intéressé lui- même a indiqué n’avoir besoin d’aide que pour couper ses aliments, se raser, se déplacer à l’extérieur et établir des contacts avec son entourage. Il n’était alors pas question de l’aide et de la surveillance permanentes alléguées dans le questionnaire pour révision du droit rempli ultérieurement, le 10 avril 2012 - et au demeurant non corroborées par l’ophtalmologue traitant. Des documents médicaux versés au dossier, la Cour de céans retient que le recourant, durant la période litigieuse de mars 2009 à avril 2014, avait besoin de l’aide d’autrui pour couper ses aliments, se raser et se déplacer à l’extérieur, voire à l’intérieur de son logement lorsqu’il s’agissait de changer d’étage. On ne saurait en déduire, comme il le fait, la nécessité de la présence permanente de son épouse à ses côtés, d’autant qu’à l’époque, trois de leurs enfants - quatre jusqu’en 2012 - partageaient leur toit. Au vu des considérations qui précèdent, on ne saurait donc tenir pour établi qu’il était impossible à l’épouse du recourant de travailler durant la période litigieuse. C’est dès lors à juste titre que l’intimé a tenu compte d’un gain potentiel. Le recours est donc rejeté.</w:t>
      </w:r>
    </w:p>
    <w:p>
      <w:r>
        <w:t>A/4854/2017 - 11/11 -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