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ATAS/264/2015 vom 14. April 2015</w:t>
      </w:r>
    </w:p>
    <w:p>
      <w:r>
        <w:t>GE Cour de justice, 2015-04-14, FR</w:t>
      </w:r>
    </w:p>
    <w:p>
      <w:r>
        <w:rPr>
          <w:b/>
        </w:rPr>
        <w:t xml:space="preserve">Quelle: </w:t>
      </w:r>
      <w:r>
        <w:t>https://mcp.opencaselaw.ch/entscheid/ge_gerichte_ATAS_264_2015</w:t>
      </w:r>
    </w:p>
    <w:p>
      <w:r>
        <w:t>FR: GE_GERICHTE ATAS/264/2015 du 14 avril 2015</w:t>
      </w:r>
    </w:p>
    <w:p>
      <w:r>
        <w:t>IT: GE_GERICHTE ATAS/264/2015 del 14 aprile 2015</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L’objet du litige porte sur le bien-fondé de la réduction de la rente entière d'invalidité du recourant à un quart de rente depuis le 1er mars 2010.</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- 16/28-</w:t>
      </w:r>
    </w:p>
    <w:p>
      <w:r>
        <w:t>A/3543/2014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Dans cette hypothèse et lorsque la demande a été déposée avant le 1er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7</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w:t>
      </w:r>
    </w:p>
    <w:p>
      <w:r>
        <w:t>- 17/28-</w:t>
      </w:r>
    </w:p>
    <w:p>
      <w:r>
        <w:t>A/3543/2014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w:t>
      </w:r>
    </w:p>
    <w:p>
      <w:r>
        <w:t>- 18/28-</w:t>
      </w:r>
    </w:p>
    <w:p>
      <w:r>
        <w:t>A/3543/2014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w:t>
      </w:r>
    </w:p>
    <w:p>
      <w:r>
        <w:t>- 19/28-</w:t>
      </w:r>
    </w:p>
    <w:p>
      <w:r>
        <w:t>A/3543/2014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- 20/28-</w:t>
      </w:r>
    </w:p>
    <w:p>
      <w:r>
        <w:t>A/3543/2014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- 21/28-</w:t>
      </w:r>
    </w:p>
    <w:p>
      <w:r>
        <w:t>A/3543/2014</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w:t>
      </w:r>
    </w:p>
    <w:p>
      <w:r>
        <w:t>- 22/28-</w:t>
      </w:r>
    </w:p>
    <w:p>
      <w:r>
        <w:t>A/3543/2014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w:t>
      </w:r>
    </w:p>
    <w:p>
      <w:r>
        <w:t>- 23/28-</w:t>
      </w:r>
    </w:p>
    <w:p>
      <w:r>
        <w:t>A/3543/2014 complément d’une expertise (ATF 137 V 210 consid. 4.4.1.4 in fine et les références).</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12</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w:t>
      </w:r>
    </w:p>
    <w:p>
      <w:r>
        <w:t>- 24/28-</w:t>
      </w:r>
    </w:p>
    <w:p>
      <w:r>
        <w:t>A/3543/2014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- 25/28-</w:t>
      </w:r>
    </w:p>
    <w:p>
      <w:r>
        <w:t>A/3543/2014</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w:t>
      </w:r>
    </w:p>
    <w:p>
      <w:r>
        <w:rPr>
          <w:b/>
        </w:rPr>
        <w:t>E. 16</w:t>
      </w:r>
    </w:p>
    <w:p>
      <w:r>
        <w:t>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- 26/28-</w:t>
      </w:r>
    </w:p>
    <w:p>
      <w:r>
        <w:t>A/3543/2014 13. En l'espèce, l'intimé s'est fondé sur l'expertise du Dr T______ pour admettre une capacité de travail du recourant de 70% dans toute activité et nier une aggravation de l'état de santé de la recourante, telle qu'attestée par la Dresse S______.</w:t>
      </w:r>
    </w:p>
    <w:p>
      <w:r>
        <w:t>Or, cet avis est sérieusement remis en question par les médecins-traitants du recourant, soit le Dr D______ (avis du 28 octobre 2014) et la Dresse S______ (avis des 30 septembre 2011, 30 novembre 2011, 23 avril 2012 et 3 février 2015). En particulier, dans son dernier avis, la Dresse S______ mentionne les limitations fonctionnelles qui empêchent le recourant "d'aller retravailler dans n'importe quel emploi où il n'arriverait pas à s'investir ou à s'adapter."</w:t>
      </w:r>
    </w:p>
    <w:p>
      <w:r>
        <w:t>Partant, une expertise psychiatrique judiciaire est nécessaire, laquelle sera confiée au docteur V______, FMH psychiatrie et psychothérapie.</w:t>
      </w:r>
    </w:p>
    <w:p>
      <w:r>
        <w:t>- 27/28-</w:t>
      </w:r>
    </w:p>
    <w:p>
      <w:r>
        <w:t>A/3543/2014 PAR CES MOTIFS, LA CHAMBRE DES ASSURANCES SOCIALES : Statuant préparatoirement</w:t>
      </w:r>
    </w:p>
    <w:p>
      <w:r>
        <w:t>I. Ordonne une expertise médicale. La confie au Dr V______, FMH psychiatrie et psychothérapie. Dit que la mission d’expertise sera la suivante : A. Prendre connaissance du dossier de la cause. B. Si nécessaire prendre tous renseignements auprès des médecins ayant traité M. A______, en particulier les Drs S______ et D______. C. Examiner M. A______. D. Etablir un rapport détaillé et répondre aux questions suivantes : 1. Quelle est l’anamnèse détaillée du cas ? 2. Quel est le status détaillé et l’évolution du status depuis le début de l’atteinte ? 3. Quelle est l’atteinte à la santé dont souffre M. A______, d’un point de vue psychiatrique (diagnostic avec et sans répercussion sur la capacité de travail) ? 4. Quelles sont les limitations fonctionnelles relativement à chaque diagnostic ? 5. En cas de trouble psychique : a) Quel est le degré de gravité de celui-ci ? b) Depuis quelle date est-il présent chez M. A______ ? c) Comment a-t-il évolué ? d) Quel traitement est-il indiqué ? M. A______ suit-il un traitement adéquat ? e) Y a-t-il une amélioration possible à court/moyen terme ? 6. Compte tenu de vos diagnostics, M. A______ pourrait-il exercer une activité lucrative, en particulier depuis janvier 2010 ? Si oui : a) Laquelle ? b) A quel taux ? c) Depuis quelle date ? d) Quelle est l'évolution de la capacité de travail de M. A______ depuis l'année 2010 ?</w:t>
      </w:r>
    </w:p>
    <w:p>
      <w:r>
        <w:t>- 28/28-</w:t>
      </w:r>
    </w:p>
    <w:p>
      <w:r>
        <w:t>A/3543/2014 e) Quel est votre pronostic quant à l’exigibilité de la reprise d’une activité lucrative ? f) Si aucune activité n’est possible ou seulement dans une mesure restreinte, pour quels motifs ? Depuis quelle date ? Quelles sont les limitations fonctionnelles qui entrent en ligne de compte ? 7. a) Etes-vous d'accord avec les avis de la Dresse S______ des 30 septembre 2011, 30 novembre 2011 et 23 avril 2012 ? En particulier avec les limitations fonctionnelles constatées, le diagnostic de trouble dépressif récurrent, épisode actuel sévère sans symptômes psychotiques, et l'estimation d'une capacité de travail nulle dans toute activité ? Si non, pourquoi ? b) Etes-vous d’accord avec l'expertise du Dr T______ du 3 juillet 2013 ? En particulier avec les limitations fonctionnelles constatées, le diagnostic de trouble dépressif récurrent, épisode actuel léger sans syndrome somatique, et l’estimation d’une capacité de travail de 70% depuis le 27 mai 2009 ? Si non pourquoi ? 8. Au vu du dossier, votre réponse aux questions susmentionnées aurait-elle été identique à la date de la décision rendue par l’Office de l’assurance-invalidité, soit le 16 octobre 2014 ? Si non, pourquoi et quelles sont les réponses qui varient ? Si oui, pourquoi ? 9. Des mesures de réadaptation professionnelle sont-elles envisageables ? 10. Faire toutes autres observations ou suggestions utiles. II. Réserve le sort des frais jusqu’à droit jugé au fond.</w:t>
      </w:r>
    </w:p>
    <w:p>
      <w:r>
        <w:t>La greffière</w:t>
      </w:r>
    </w:p>
    <w:p>
      <w:r>
        <w:t>Alicia PERRONE</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