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ATAS/262/2025 vom 9. April 2025</w:t>
      </w:r>
    </w:p>
    <w:p>
      <w:r>
        <w:t>GE Cour de justice, 2025-04-09, FR</w:t>
      </w:r>
    </w:p>
    <w:p>
      <w:r>
        <w:rPr>
          <w:b/>
        </w:rPr>
        <w:t xml:space="preserve">Quelle: </w:t>
      </w:r>
      <w:r>
        <w:t>https://mcp.opencaselaw.ch/entscheid/ge_gerichte_ATAS_262_2025</w:t>
      </w:r>
    </w:p>
    <w:p>
      <w:r>
        <w:t>FR: GE_GERICHTE ATAS/262/2025 du 9 avril 2025</w:t>
      </w:r>
    </w:p>
    <w:p>
      <w:r>
        <w:t>IT: GE_GERICHTE ATAS/262/2025 del 9 aprile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1.1</w:t>
      </w:r>
    </w:p>
    <w:p>
      <w:r>
        <w:t>Interjeté dans la forme et le délai prévus par la loi, le recours est recevable (art. 56 ss LPGA et 62 ss LPA).</w:t>
      </w:r>
    </w:p>
    <w:p>
      <w:r>
        <w:rPr>
          <w:b/>
        </w:rPr>
        <w:t>E. 2</w:t>
      </w:r>
    </w:p>
    <w:p>
      <w:r>
        <w:t>Le litige porte sur le bien-fondé de la décision de l’intimée de mettre un terme au versement des indemnités journalières à la recourante au 4 décembre 2020, au motif qu’elle était totalement capable de travailler dans sa profession habituelle d’employée de bureau à compter du 5 décembre 2020.</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responsabilité de l’assureur-accidents s’étend, en principe, à toutes les conséquences dommageables qui se trouvent dans un rapport de causalité</w:t>
      </w:r>
    </w:p>
    <w:p>
      <w:r>
        <w:t>A/3047/2021 - 7/9 - naturelle (ATF 119 V 335 consid. 1;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4</w:t>
      </w:r>
    </w:p>
    <w:p>
      <w:r>
        <w:t>En l’espèce, la recourante a fait l’objet d’une expertise par deux experts du I______. La chambre de céans a déjà admis la valeur probante de cette expertise dans son arrêt du 26 juin 2024, dans la cause A/3275/2019 (ATAS/515/2024). Faute de critique à son encontre par les parties, il n’y a pas lieu d’en juger autrement dans la présente cause. Dans leur rapport du 9 décembre 2023, les experts ont conclu, de façon consensuelle, que sur le plan orthopédique, la capacité de travail de la recourante dans une activité sédentaire était de 50% dès le 23 novembre 2017 et de 100% dès le 15 janvier 2018, date de la consolidation définitive de la fracture sur le bilan radiologique. En ce qui concernait le CRPS dont la causalité était admise, celui-ci était centré exclusivement sur l’hallux et devait permettre à la recourante une capacité travail de 100% pour une activité de bureautique assise. L’accident n’avait entraîné aucune lésion sur le plan neurologique.</w:t>
      </w:r>
    </w:p>
    <w:p>
      <w:r>
        <w:t>A/3047/2021 - 8/9 - Les conclusions de l’expertise sont claires et, sur cette base, il est établi, au degré la vraisemblance prépondérante, que la recourante était totalement capable de travailler dans sa profession habituelle d’employée de bureau à compter du</w:t>
      </w:r>
    </w:p>
    <w:p>
      <w:r>
        <w:rPr>
          <w:b/>
        </w:rPr>
        <w:t>E. 5</w:t>
      </w:r>
    </w:p>
    <w:p>
      <w:r>
        <w:t>Infondé, le recours sera rejeté. La procédure est gratuite (art. 61 let. fbis a contrario LPGA).</w:t>
      </w:r>
    </w:p>
    <w:p>
      <w:r>
        <w:t>A/3047/2021 - 9/9 -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