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ATAS/262/2022 vom 21. März 2022</w:t>
      </w:r>
    </w:p>
    <w:p>
      <w:r>
        <w:t>GE Cour de justice, 2022-03-21, FR</w:t>
      </w:r>
    </w:p>
    <w:p>
      <w:r>
        <w:rPr>
          <w:b/>
        </w:rPr>
        <w:t xml:space="preserve">Quelle: </w:t>
      </w:r>
      <w:r>
        <w:t>https://mcp.opencaselaw.ch/entscheid/ge_gerichte_ATAS_262_2022</w:t>
      </w:r>
    </w:p>
    <w:p>
      <w:r>
        <w:t>FR: GE_GERICHTE ATAS/262/2022 du 21 mars 2022</w:t>
      </w:r>
    </w:p>
    <w:p>
      <w:r>
        <w:t>IT: GE_GERICHTE ATAS/262/2022 del 21 marzo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w:t>
      </w:r>
    </w:p>
    <w:p>
      <w:r>
        <w:t>En vertu de l’art. 28 al. 2 LAI, l’assuré a droit à une rente entière s’il est invalide à 70% au moins, à un trois-quarts de rente s'il est invalide à 60% au moins, à une</w:t>
      </w:r>
    </w:p>
    <w:p>
      <w:r>
        <w:t>A/1681/2021 - 5/10 -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A/1681/2021 - 6/10 - Sans remettre en cause le principe de la libre appréciation des preuves, le Tribunal fédéral des assurances a posé des lignes directrices en ce qui concerne la manière d'apprécier certains types d'expertises ou de rapports médicaux.</w:t>
      </w:r>
    </w:p>
    <w:p>
      <w:r>
        <w:rPr>
          <w:b/>
        </w:rPr>
        <w:t>E. 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w:t>
      </w:r>
    </w:p>
    <w:p>
      <w:r>
        <w:t>A/1681/2021 - 7/10 -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La recourante se plaint tout d’abord d’une violation de son droit d’être entendue.</w:t>
      </w:r>
    </w:p>
    <w:p>
      <w:r>
        <w:rPr>
          <w:b/>
        </w:rPr>
        <w:t>E. 7.1</w:t>
      </w:r>
    </w:p>
    <w:p>
      <w:r>
        <w:t>A cet égard, une autorité qui ne traite pas un grief relevant de sa compétence, motivé de façon suffisante et pertinente pour l'issue du litige, commet un déni de justice formel proscrit par l'art. 29 al. 1 Cst. (ATF 117 Ia 116 consid. 3a p. 117; Pra 2003 n° 119 p. 633, 1P. 15/2003 consid. 2; arrêt 9C_561/2009 du 14 janvier 2010 consid. 6.2). Par ailleurs,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p. 236; 126 I 97 consid. 2b p. 102 s.). En règle générale, l'étendue de l'obligation de motiver dépend de la complexité de l'affaire à juger, de la liberté d'appréciation dont jouit l'autorité et de la potentielle gravité des conséquences de sa décision (cf. ATF 112 Ia 107 consid. 2b p. 107).</w:t>
      </w:r>
    </w:p>
    <w:p>
      <w:r>
        <w:rPr>
          <w:b/>
        </w:rPr>
        <w:t>E. 7.2</w:t>
      </w:r>
    </w:p>
    <w:p>
      <w:r>
        <w:t>Le droit d'être entendu est une garantie constitutionnelle de caractère formel, dont la violation doit en principe entraîner l'annulation de la décision attaquée indépendamment des chances de succès du recourant sur le fond (ATF 127 V 431 consid. 3d/aa p. 437). Par exception au principe de la nature formelle du droit d'être entendu, la jurisprudence admet qu'une violation de ce dernier principe est considérée comme réparée lorsque l'intéressé jouit de la possibilité de s'exprimer</w:t>
      </w:r>
    </w:p>
    <w:p>
      <w:r>
        <w:t>A/1681/2021 - 8/10 - librement devant une autorité de recours disposant du même pouvoir d'examen que l'autorité inférieure et pouvant ainsi contrôler librement l'état de fait et les considérations juridiques de la décision attaquée (ATF 133 I 201 consid. 2.2 p. 204; 129 I 129 consid. 2.2.3 p. 135; 127 V 431 consid. 3d/aa p. 437; 126 V 130 consid. 2b p. 132).</w:t>
      </w:r>
    </w:p>
    <w:p>
      <w:r>
        <w:rPr>
          <w:b/>
        </w:rPr>
        <w:t>E. 7.3</w:t>
      </w:r>
    </w:p>
    <w:p>
      <w:r>
        <w:t>En l’occurrence, contrairement à l’avis de la recourante, la décision litigieuse est suffisamment motivée dès lors qu’elle se fonde sur l’avis du SMR du 12 mars 2021, lequel explique pour quels motifs le rapport du Dr E______ ne permet pas de mettre en doute les conclusions de la CRR. S’agissant par ailleurs de la plainte de la recourante de ne pas avoir pu fournir un rapport de la consultation des HUG, même si elle devait constituer une violation de son droit d’être entendue, celle-ci aurait, en toute hypothèse, été réparée dans le cadre de la présente procédure, un rapport de la consultation des HUG du 16 novembre 2021 ayant été versé au dossier.</w:t>
      </w:r>
    </w:p>
    <w:p>
      <w:r>
        <w:rPr>
          <w:b/>
        </w:rPr>
        <w:t>E. 8</w:t>
      </w:r>
    </w:p>
    <w:p>
      <w:r>
        <w:t>En l’occurrence, l’intimé s’est fondé sur l’expertise de la CRR du 8 septembre 2020 pour retenir une exigibilité d’une activité à 100% de la recourante, depuis le 25 septembre 2017, dans une activité adaptée à ses limitations fonctionnelles.</w:t>
      </w:r>
    </w:p>
    <w:p>
      <w:r>
        <w:rPr>
          <w:b/>
        </w:rPr>
        <w:t>E. 8.1</w:t>
      </w:r>
    </w:p>
    <w:p>
      <w:r>
        <w:t>Fondé sur les pièces au dossier, un examen de la recourante (de médecine générale, de psychiatrie et de rhumatologie), comprenant une anamnèse complète, le descriptif des plaintes de la recourante, des diagnostics et limitations fonctionnelles clairs et une motivation convaincante de la capacité de travail de la recourante, le rapport d’expertise précité répond aux réquisits jurisprudentiels précités pour qu’il lui soit reconnu une pleine valeur probante.</w:t>
      </w:r>
    </w:p>
    <w:p>
      <w:r>
        <w:rPr>
          <w:b/>
        </w:rPr>
        <w:t>E. 8.2</w:t>
      </w:r>
    </w:p>
    <w:p>
      <w:r>
        <w:t>La recourante invoque une capacité de travail nulle dans toute activité depuis le 25 septembre 2017, en se fondant sur le rapport du Dr E______ du 19 février 2021 ainsi que sur le rapport de la consultation des HUG du 16 novembre 2021. Comme relevé par l’intimé, le Dr E______ a mentionné des atteintes à la santé antérieures à l’expertise de la CRR (les examens de la recourante ont eu lieu du 16 au 18 novembre 2020), soit un état anxiodépressif récurrent avec PTSD depuis 2010, des lombosciatalgies récurrentes et un syndrome de surcharge pondérale depuis 2013, un orthostatisme depuis 2018, des acouphènes post-opératoires depuis 2017 et un syndrome de lipodystrophie et une obésité de stade 1 apparus entre novembre 2019 et septembre 2020. Le Dr E______ dit regretter le refus des prestations de l’intimé mais n’apporte aucun élément médical permettant de contester l’appréciation de la CRR. Il relève uniquement des douleurs articulaires et posturales invalidantes dues à la prise pondérale progressive. Or, le rapport de la consultation des HUG du 16 novembre 2021 mentionne à cet égard une évolution favorable, la recourante ayant suivi des mesures diététiques et d’hygiène de vie ayant permis une perte de 3 kg. Ce rapport ne contient par ailleurs aucun élément médical permettant de contester les conclusions de la CRR ; il ne se</w:t>
      </w:r>
    </w:p>
    <w:p>
      <w:r>
        <w:t>A/1681/2021 - 9/10 - prononce en particulier pas sur la capacité de travail de la recourante dans une activité adaptée.</w:t>
      </w:r>
    </w:p>
    <w:p>
      <w:r>
        <w:rPr>
          <w:b/>
        </w:rPr>
        <w:t>E. 8.3</w:t>
      </w:r>
    </w:p>
    <w:p>
      <w:r>
        <w:t>Au vu de ce qui précède, une capacité de travail de 100% dans une activité adaptée aux limitations fonctionnelles telles que retenues par la CRR peut être confirmée dès le 25 septembre 2017.</w:t>
      </w:r>
    </w:p>
    <w:p>
      <w:r>
        <w:rPr>
          <w:b/>
        </w:rPr>
        <w:t>E. 8.4</w:t>
      </w:r>
    </w:p>
    <w:p>
      <w:r>
        <w:t>Enfin, le calcul du degré d’invalidité tel qu’effectué par l’intimé, qui n’est pas contesté par la recourante, peut également être confirmé. Le degré d’invalidité de 10% auquel il aboutit est insuffisant pour ouvrir le droit à une rente d’invalidité ou à un reclassement.</w:t>
      </w:r>
    </w:p>
    <w:p>
      <w:r>
        <w:rPr>
          <w:b/>
        </w:rPr>
        <w:t>E. 9</w:t>
      </w:r>
    </w:p>
    <w:p>
      <w:r>
        <w:t>Partant, le recours ne peut qu’être rejeté.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A/1681/2021 - 10/10 -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