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ATAS/262/2021 vom 23. März 2021</w:t>
      </w:r>
    </w:p>
    <w:p>
      <w:r>
        <w:t>GE Cour de justice, 2021-03-23, FR</w:t>
      </w:r>
    </w:p>
    <w:p>
      <w:r>
        <w:rPr>
          <w:b/>
        </w:rPr>
        <w:t xml:space="preserve">Quelle: </w:t>
      </w:r>
      <w:r>
        <w:t>https://mcp.opencaselaw.ch/entscheid/ge_gerichte_ATAS_262_2021</w:t>
      </w:r>
    </w:p>
    <w:p>
      <w:r>
        <w:t>FR: GE_GERICHTE ATAS/262/2021 du 23 mars 2021</w:t>
      </w:r>
    </w:p>
    <w:p>
      <w:r>
        <w:t>IT: GE_GERICHTE ATAS/262/2021 del 23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5</w:t>
      </w:r>
    </w:p>
    <w:p>
      <w:r>
        <w:t>Le litige porte sur la question de savoir si la recourante a droit à des prestations de l’assurance-invalidité.</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A/3183/2020 - 6/12 - Est réputée invalidité, l'incapacité de gain totale ou partielle présumée permanente ou de longue durée, résultant d'une infirmité congénitale, d'une maladie ou d'un accident (art. 8 al. 1 LPGA et 4 al. 1 LAI).</w:t>
      </w:r>
    </w:p>
    <w:p>
      <w:r>
        <w:rPr>
          <w:b/>
        </w:rPr>
        <w:t>E. 7</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ATF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ATF 115 V 134 consid. 2 ; ATF 114 V 314 consid. 3c ; ATF 105 V 158 consid. 1), étant rappelé que l'obligation pour l'assuré de diminuer le dommage est un principe général du droit des assurances sociales (ATF 129 V 463 consid. 4.2 ; ATF 123 V 233 consid. 3c ; ATF 117 V 278 consid. 2b, 400 et les arrêts cités).</w:t>
      </w:r>
    </w:p>
    <w:p>
      <w:r>
        <w:rPr>
          <w:b/>
        </w:rPr>
        <w:t>E. 8</w:t>
      </w:r>
    </w:p>
    <w:p>
      <w:r>
        <w:t>septembre 2020 (ATAS/748/2020), la chambre de céans a confirmé une exigibilité globale de 29.45 % retenue à la charge de l'époux - qui était aussi atteint dans sa santé - et du fils de l'assurée qui vivait sous le même toit et exerçait une activité à 100 %.</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A/3183/2020 - 9/12 -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11</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12</w:t>
      </w:r>
    </w:p>
    <w:p>
      <w:r>
        <w:t>À titre liminaire, il convient de relever que la recourante ne conteste pas le statut de non active retenu par l’intimé. Ce statut est d’ailleurs justifié dans la mesure où la recourante n’a jamais exercé d’activité lucrative, à tout le moins depuis la naissance de son fils en 1997. Dès lors, seule importe la question du degré d’empêchement de la recourante à accomplir ses tâches habituelles. Dans le cadre de l’instruction, l’intimé a procédé à une enquête ménagère. C’est le lieu de rappeler qu’il s’agit en principe d’une base appropriée et suffisante pour évaluer les empêchements dans l'accomplissement des travaux habituels de l'intéressée. Devant la chambre de céans, la recourante ne critique pas les différents postes retenus par l’enquête ménagère. Elle se plaint uniquement de ce qu’une exigibilité de 21.90 % a été retenue de la part de son fils. Elle explique que ce dernier va bientôt quitter la maison et conteste que sa maladie soit calculée en fonction de son fils. Dans le cadre de son opposition, elle avait également indiqué qu’il travaillait à temps plein et ne l’aidait pas vraiment. Or, ainsi que l’a relevé l’intimé, le fait que le fils de la recourante exerce une activité professionnelle ne l'empêche pas de participer aux tâches ménagères, étant précisé que s'il vivait seul, il aurait également dû s'occuper de son ménage. Dans ces circonstances, la prise en compte d'une aide de la famille oscillant entre 25 % et 50 %, selon les champs d'activités, n'apparaît pas excéder ce qui peut être raisonnablement exigé des membres de la famille dans le cadre de l'obligation de diminuer le dommage. Il sera à cet égard précisé que la recourante bénéficie d’une aide au ménage à raison de deux heures par semaine, qui est prise en charge par l’assurance-maladie. C’est ainsi la femme de ménage qui passe l’aspirateur, nettoie les sols, les salles de bains et la cuisine en profondeur et s’occupe du repassage. Le fils de la recourante aide sa mère à débarrasser la table, changer les draps, porter et changer les litières des chats, sortir les poubelles, porter les courses lourdes (litières de chats, boissons) et étendre les grandes pièces au sortir de la machine à laver. Dans ces circonstances, une exigibilité de 21.90 % n’apparaît pas critiquable.</w:t>
      </w:r>
    </w:p>
    <w:p>
      <w:r>
        <w:t>A/3183/2020 - 10/12 - Pour le reste, en l'absence d'erreurs d'estimation évidentes, ou d'indices laissant apparaître des inexactitudes ou des omissions dans les résultats de l'enquête, rédigée par une personne qualifiée, en pleine connaissance de la situation médicale et locale, une pleine valeur probante doit être reconnue au rapport économique sur le ménage. Par conséquent, le degré d'invalidité de 14.90 %, dans la sphère ménagère, tel que retenu par l'intimé, doit être confirmé. Reste à voir si, comme le soutient la recourante, celle-ci rencontre des empêchements dans ses activités habituelles en raison de troubles d’ordre psychique. En effet, d’après la jurisprudence précitée,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Devant la chambre de céans, la recourante a produit un certificat médical du Dr G______ daté du 12 février 2021, soit postérieurement à la décision entreprise du 7 septembre 2020. Or, ce document fait état d’une aggravation de l’état de santé psychique de l’assurée depuis le 12 octobre 2020 (soit depuis le dernier certificat médical du médecin). Compte tenu du fait que le juge apprécie en règle générale la légalité des décisions entreprises d'après l'état de fait existant au moment où la décision litigieuse a été rendue (cf. supra consid. 11), la chambre de céans n’en tiendra pas compte. Cette pièce pourrait, le cas échéant, justifier une nouvelle demande auprès de l’intimé. Il en va en revanche autrement de l’attestation médicale du Dr G______ du 12 octobre 2020. Ce document, certes postérieur à la décision entreprise, a trait à la situation psychique de la recourante depuis le début de son suivi auprès de son psychiatre traitant le 15 mai 2020, soit une situation antérieure au 7 septembre 2020. Cette précision étant apportée, il convient d’examiner l’état de santé psychique de la recourante au moment de la décision litigieuse. En l’occurrence, aucun élément au dossier ne permet de se convaincre qu’au moment de la décision litigieuse l’assurée souffrait d’une atteinte d’ordre psychique ayant une incidence sur sa capacité à exercer ses activités ménagères. Dans son rapport du 8 juillet 2019, le Dr D______ a certes mentionné un trouble anxieux réactionnel, mais il n’a pas précisé si, à lui seul, ce trouble empêchait l’accomplissement des tâches ménagères, cas échéant dans quelle mesure. On précisera d’ailleurs que le taux d’incapacité de travail fixé à 50 % par ce médecin comprenait également les atteintes somatiques invalidantes, soit la spondylarthrite ankylosante et l’atteinte de la coiffe des rotateurs des deux épaules. Dans son avis médical du 12 octobre 2020, le psychiatre traitant de la recourante a quant à lui diagnostiqué un état anxio-dépressif. Il n’a toutefois pas précisé si cet état avait valeur de maladie selon la Classification statistique internationale des maladies et des problèmes de santé connexes (CIM-10, 10ème révision). Il n’a pas non plus</w:t>
      </w:r>
    </w:p>
    <w:p>
      <w:r>
        <w:t>A/3183/2020 - 11/12 - indiqué s’il s’agissait d’une atteinte ayant une incidence sur la capacité de l’assurée à accomplir les tâches ménagères. Le rapport du 12 février 2021 laisse d’ailleurs supposer le contraire puisqu’il évoque une aggravation de l’état de santé de sa patiente dans les quatre derniers mois ayant conduit à une incapacité de travail de 50 %. Il convient donc de conclure à l’absence de divergences entre les résultats de l’enquête économique sur le ménage et les constatations d’ordre médical relatives à la capacité d'accomplir les travaux habituels. On relèvera au demeurant que, même à admettre une incapacité de travail partielle en tant que ménagère, l’issue du présent litige ne serait pas différente. En effet, l’empêchement d’un assuré d’assumer ses tâches ménagères doit être établi en tenant compte de l’aide de ses proches et des aménagements exigibles en vertu de son obligation de diminuer le dommage. Or, ainsi qu’il a été retenu ci-avant, une aide supplémentaire de son fils à hauteur de 21.90 % peut être exigée, conformément à la jurisprudence. L’incapacité à accomplir les travaux ménagers de la recourante n’atteindrait ainsi de toute façon pas le taux de 40 %, même à admettre une incapacité à effectuer les tâches ménagères à hauteur de 50 %, ce qui est insuffisant pour ouvrir le droit à une rente d’invalidité. Il sera à cet égard précisé que si, comme l’indique la recourante, son fils venait à quitter la maison, il lui serait loisible de déposer une nouvelle demande auprès de l’intimé, le cas échéant en produisant des pièces médicales récentes sur son état de santé psychique et sur sa capacité d'accomplir les travaux habituels.</w:t>
      </w:r>
    </w:p>
    <w:p>
      <w:r>
        <w:rPr>
          <w:b/>
        </w:rPr>
        <w:t>E. 13</w:t>
      </w:r>
    </w:p>
    <w:p>
      <w:r>
        <w:t>Eu égard aux considérations qui précèdent, le recours est rejeté. La procédure de recours en matière de contestation portant sur l'octroi ou le refus de prestations de l'assurance-invalidité étant soumise à des frais de justice, la recourante sera condamnée au paiement d'un émolument, arrêté au montant minimal de CHF 200.- (art. 69 al. 1bis LAI). * * * * * *</w:t>
      </w:r>
    </w:p>
    <w:p>
      <w:r>
        <w:t>A/3183/2020 - 12/12 -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