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ATAS/262/2012 vom 12. März 2012</w:t>
      </w:r>
    </w:p>
    <w:p>
      <w:r>
        <w:t>GE Cour de justice, 2012-03-12, FR</w:t>
      </w:r>
    </w:p>
    <w:p>
      <w:r>
        <w:rPr>
          <w:b/>
        </w:rPr>
        <w:t xml:space="preserve">Quelle: </w:t>
      </w:r>
      <w:r>
        <w:t>https://mcp.opencaselaw.ch/entscheid/ge_gerichte_ATAS_262_2012</w:t>
      </w:r>
    </w:p>
    <w:p>
      <w:r>
        <w:t>FR: GE_GERICHTE ATAS/262/2012 du 12 mars 2012</w:t>
      </w:r>
    </w:p>
    <w:p>
      <w:r>
        <w:t>IT: GE_GERICHTE ATAS/262/2012 del 12 marzo 2012</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Interjeté dans les forme et délai prévus par la loi, devant l'autorité compétente, le recours est en conséquence recevable (art. 56 ss LPGA).</w:t>
      </w:r>
    </w:p>
    <w:p>
      <w:r>
        <w:rPr>
          <w:b/>
        </w:rPr>
        <w:t>E. 3</w:t>
      </w:r>
    </w:p>
    <w:p>
      <w:r>
        <w:t>Le litige porte sur le droit de l'assurée à une rente d'invalidité, et plus particulièrement sur sa capacité de travail et de gain.</w:t>
      </w:r>
    </w:p>
    <w:p>
      <w:r>
        <w:rPr>
          <w:b/>
        </w:rPr>
        <w:t>E. 4</w:t>
      </w:r>
    </w:p>
    <w:p>
      <w:r>
        <w:t>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w:t>
      </w:r>
    </w:p>
    <w:p>
      <w:r>
        <w:t>- 11/18-</w:t>
      </w:r>
    </w:p>
    <w:p>
      <w:r>
        <w:t>A/2380/2010 d’activité, si cette diminution résulte d’une atteinte à sa santé physique ou mentale et qu’elle persiste après les traitements et les mesures de réadaptation exigibles (art. 7 al. 1er LPGA).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D’autre part, dans un arrêt du 8 février 2006 (ATF 132 V 65),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w:t>
      </w:r>
    </w:p>
    <w:p>
      <w:r>
        <w:t>- 12/18-</w:t>
      </w:r>
    </w:p>
    <w:p>
      <w:r>
        <w:t>A/2380/2010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49). Au nombre des critères dégagés par la jurisprudence, qui permettent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Plus ces critères se manifestent et imprègnent les constatations médicales, moins on admettra l’exigibilité d’un effort de volonté.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sur l’ensemble du sujet ATF 131 V 49 et les références citées). Par ailleurs, s’agissant des troubles dépressifs, il y a lieu d’observer que selon la doctrine médicale (cf. notamment DILLING/MOMBOUR/SCHMIDT [Hrsg.],</w:t>
      </w:r>
    </w:p>
    <w:p>
      <w:r>
        <w:t>- 13/18-</w:t>
      </w:r>
    </w:p>
    <w:p>
      <w:r>
        <w:t>A/2380/2010 Internationale Klassifikation psychischer Störungen, ICD-10 Kapitel V [F], 4e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et les références citées). Dans ce contexte, on rappellera encore que la reconnaissance du caractère invalidant de troubles somatoformes douloureux chez de jeunes assurés doit rester exceptionnelle en l’absence de comorbidité psychiatrique (ATFA non publié du 31 janvier 2006, I 488/04 et les références).</w:t>
      </w:r>
    </w:p>
    <w:p>
      <w:r>
        <w:rPr>
          <w:b/>
        </w:rPr>
        <w:t>E. 5</w:t>
      </w:r>
    </w:p>
    <w:p>
      <w:r>
        <w:t>Selon l'art. 28 al. 1 LAI dans sa teneur en vigueur jusqu'au 31 décembre 2003, l'assuré a droit à une rente entière s'il est invalide à 66 2/3 % au moins, à une demi- rente s'il est invalide à 50 % au moins, ou à un quart de rente s'il est invalide à 40 %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et du 6 septembre 2004, I 249/04, consid. 4).</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- 14/18-</w:t>
      </w:r>
    </w:p>
    <w:p>
      <w:r>
        <w:t>A/2380/2010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- 15/18-</w:t>
      </w:r>
    </w:p>
    <w:p>
      <w:r>
        <w:t>A/2380/2010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w:t>
      </w:r>
    </w:p>
    <w:p>
      <w:r>
        <w:rPr>
          <w:b/>
        </w:rPr>
        <w:t>E. 7</w:t>
      </w:r>
    </w:p>
    <w:p>
      <w:r>
        <w:t>En l'espèce, l'OAI a nié le droit de l'assurée à des prestations AI, considérant, sur la base du rapport établi le 3 juin 2008 par les Drs F__________ et G__________ du SMR, qu'elle présentait une incapacité de travail de 50% dans son activité habituelle, laquelle respectait ses limitations fonctionnelles. Ce taux de 50% ne suffit en effet pas pour ouvrir le droit à une rente, compte tenu du statut mixte de l'assurée, réparti à raison de 80% pour la part professionnelle et de 20% pour les travaux habituels et du degré d'incapacité à accomplir les tâches ménagères évalué à 28,5%.</w:t>
      </w:r>
    </w:p>
    <w:p>
      <w:r>
        <w:rPr>
          <w:b/>
        </w:rPr>
        <w:t>E. 8</w:t>
      </w:r>
    </w:p>
    <w:p>
      <w:r>
        <w:t>Force est toutefois de constater que les conclusions des médecins du SMR divergent avec celles du Dr B__________ et de la Dresse M__________, tant sur les diagnostics posés que sur l'évaluation de la capacité résiduelle de travail. Le Dr B__________ a clairement expliqué que l'assurée subit les effets secondaires du traitement de Femara. Elle souffre ainsi de douleurs, d'une diminution de la motricité et de la sensibilité et de poussées inflammatoires. Elle présente également, en raison de ce traitement, des problèmes de mémorisation et de concentration, ainsi qu'un état de fatigue important. Il précise au surplus que la polyarthrite ne peut être traitée tant que le patient est sous traitement de Femara. Il considère dès lors que l'assurée est incapable de travailler à 100%, même dans une activité de bureau. Il souligne toutefois que dans dix-huit mois environ, le traitement de Femara pourra en principe être arrêté, ce qui impliquera la diminution des polyarthralgies après six à douze mois. Il réfute le diagnostic de fibromyalgie posé par les médecins du SMR. Ce diagnostic n'a pour lui aucun sens, partant de l'idée que la chimiothérapie a préparé le terrain et que le traitement antihormonal a aggravé l’atteinte. L'OAI reproche quant à lui au Dr B__________ de n'avoir essentiellement relevé que des symptômes subjectifs de l’assurée qui ne se traduisent pas par des limitations fonctionnelles objectives selon l’examen clinique SMR bi-disciplinaire du 3 juin 2008. Les médecins du SMR ont retenu des "polyarthralgies d'origine indéterminée (polyarthralgies secondaires à un traitement hormonal de Femara, et fibromyalgie secondaire à une pathologie tumorale)". On peine à comprendre ce diagnostic. En effet, soit la polyarthralgie est due au traitement de Femara, soit elle ne l'est pas. On</w:t>
      </w:r>
    </w:p>
    <w:p>
      <w:r>
        <w:t>- 16/18-</w:t>
      </w:r>
    </w:p>
    <w:p>
      <w:r>
        <w:t>A/2380/2010 ne voit pas bien comment elle ne pourrait l'être que partiellement et si tel était effectivement le cas, comment il serait possible d'en fixer la proportion. De plus, si la polyarthralgie est due au traitement de Femara, ainsi que le soutient le Dr B__________, et ainsi que le reconnaissent les médecins du SMR, du moins en partie, on ne voit pas non plus pour quelle raison ceux-ci ajoutent le diagnostic de fibromyalgie, fibromyalgie qui serait elle-même "secondaire à une pathologie tumorale". Il y a ainsi lieu de relever, au vu de ce qui précède, que si les médecins du SMR fixent la capacité résiduelle de travail à 50%, c'est parce qu'ils admettent qu'une partie des polyarthralgies est secondaire au traitement de Femara et entraine une incapacité de travail de 50%, mais retiennent que "l'autre partie" des polyarthralgies, est due à la fibromyalgie, laquelle n'est à leurs yeux pas invalidante. Or, ils n'expliquent pas pour quel motif ils considèrent que les polyarthralgies auraient deux origines distinctes et on ne voit pas sur quel critère ils se sont fondés pour fixer une incapacité de travail due aux polyarthralgies secondaires au traitement de Femara à 50 %. Le Dr B__________ estime quant à lui que sa patiente ne peut exercer aucune activité lucrative. On ne sait cependant pas pour quelles raisons elle ne le pourrait pas non plus dans une activité adaptée. Enfin, la Dresse I__________ a posé le diagnostic de trouble dépressif récurrent, épisode d'intensité sévère présent depuis "un certain temps" avant mai 2001, date de sa première consultation. Or, la Dresse H__________ s'étonne à cet égard de ce qu'un état dépressif qualifié de réactionnel puisse s'être installé depuis 7-8 ans et qu'un épisode dépressif décrit en juin 2008 comme mineur puisse fonder un diagnostic de trouble dépressif récurrent.</w:t>
      </w:r>
    </w:p>
    <w:p>
      <w:r>
        <w:rPr>
          <w:b/>
        </w:rPr>
        <w:t>E. 9</w:t>
      </w:r>
    </w:p>
    <w:p>
      <w:r>
        <w:t>Quel est le pronostic ?</w:t>
      </w:r>
    </w:p>
    <w:p>
      <w:r>
        <w:rPr>
          <w:b/>
        </w:rPr>
        <w:t>E. 10</w:t>
      </w:r>
    </w:p>
    <w:p>
      <w:r>
        <w:t>Toute remarque utile et proposition de l’expert.</w:t>
      </w:r>
    </w:p>
    <w:p>
      <w:r>
        <w:rPr>
          <w:b/>
        </w:rPr>
        <w:t>E. 11</w:t>
      </w:r>
    </w:p>
    <w:p>
      <w:r>
        <w:t>Commet à ces fins les Docteurs J__________, spécialiste FMH en psychiatrie, K__________, spécialiste FMH en rhumatologie, et la Doctoresse L__________, spécialiste FMH en oncologie.</w:t>
      </w:r>
    </w:p>
    <w:p>
      <w:r>
        <w:rPr>
          <w:b/>
        </w:rPr>
        <w:t>E. 12</w:t>
      </w:r>
    </w:p>
    <w:p>
      <w:r>
        <w:t>Invite les experts à déposer à leur meilleure convenance un rapport en trois exemplaires à la Cour de céans ;</w:t>
      </w:r>
    </w:p>
    <w:p>
      <w:r>
        <w:rPr>
          <w:b/>
        </w:rPr>
        <w:t>E. 13</w:t>
      </w:r>
    </w:p>
    <w:p>
      <w:r>
        <w:t>Réserve le fond ;</w:t>
      </w:r>
    </w:p>
    <w:p>
      <w:r>
        <w:t>La greffière</w:t>
      </w:r>
    </w:p>
    <w:p>
      <w:r>
        <w:t>Nathalie LOCHER</w:t>
      </w:r>
    </w:p>
    <w:p>
      <w:r>
        <w:t>La Présidente</w:t>
      </w:r>
    </w:p>
    <w:p>
      <w:r>
        <w:t>Doris GALEAZZI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