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ATAS/262/2010 vom 17. März 2010</w:t>
      </w:r>
    </w:p>
    <w:p>
      <w:r>
        <w:t>GE Cour de justice, 2010-03-17, FR</w:t>
      </w:r>
    </w:p>
    <w:p>
      <w:r>
        <w:rPr>
          <w:b/>
        </w:rPr>
        <w:t xml:space="preserve">Quelle: </w:t>
      </w:r>
      <w:r>
        <w:t>https://mcp.opencaselaw.ch/entscheid/ge_gerichte_ATAS_262_2010</w:t>
      </w:r>
    </w:p>
    <w:p>
      <w:r>
        <w:t>FR: GE_GERICHTE ATAS/262/2010 du 17 mars 2010</w:t>
      </w:r>
    </w:p>
    <w:p>
      <w:r>
        <w:t>IT: GE_GERICHTE ATAS/262/2010 del 17 marzo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a) En l'occurrence, les médecins du SMR ont considéré, en août 2008, que la recourante présentait une capacité de travail complète depuis janvier 2008. Toutefois, le Dr C________ a à ce moment évalué la capacité de travail à 50 %, tout en indiquant que la situation était très fragile et qu'il lui était très difficile de faire un pronostic d'amélioration clinique, compte tenu de la durée des troubles psychiques. Il y a par ailleurs également une divergence quant au diagnostic. En</w:t>
      </w:r>
    </w:p>
    <w:p>
      <w:r>
        <w:t>- 8/12-</w:t>
      </w:r>
    </w:p>
    <w:p>
      <w:r>
        <w:t>A/1204/2007 effet, selon le Dr C________, la recourante souffre d'un trouble dépressif récurrent, épisode actuel moyen en janvier 2008, alors que le SMR n'a diagnostiqué qu'un épisode dépressif réactionnel moyen, avec répercussion sur la capacité de travail, et une dysthymie, sans répercussion sur cette capacité. Par ailleurs, il s'est avéré par la suite que l'état de santé de la recourante s'est aggravé, puisqu'elle a dû être hospitalisée en septembre 2008. Les médecins du service d'addictologie du département psychiatrique des HUG ont à cette occasion posé les diagnostics de trouble dépressif récurrent, épisode actuel sévère sans symptôme psychotique, et d'agoraphobie avec trouble panique. b) Il est vrai que l'hospitalisation était motivée par un sevrage d'alcool et que,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9C_395/2007, consid. 2.2).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d'alcool affectent inévitablement le tableau clinique. En</w:t>
      </w:r>
    </w:p>
    <w:p>
      <w:r>
        <w:t>- 9/12-</w:t>
      </w:r>
    </w:p>
    <w:p>
      <w:r>
        <w:t>A/1204/2007 règle générale, les signes et symptômes psychiatriques sont induits et s'amendent spontanément par l'arrêt de la consommation dans les semaines qui suivent le sevrage. Dès lors, ils ne sauraient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depuis l'adolescence, peut constituer un instrument utile dans le cadre de la détermination du diagnostic, notamment s'agissant de la préexistence d'un trouble indépendant (arrêt du Tribunal fédéral 9C_395/2007, consid. 2.3 et réf. y citées, à savoir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consid. 2.4). c) En l'espèce, il ressort du résumé de séjour du 29 septembre 2008 du département psychiatrique des HUG que le facteur déclenchant les consommations d'alcool étaient des crises d'angoisse et des difficultés d'endormissement ainsi que la solitude. Il ne semble dès lors pas qu'il s'agisse en l'occurrence d'une dépendance primaire. Elle paraît plutôt être provoquée par les atteintes psychiques et constituer une automédication. A noter également que ce rapport fait état d'une plaie profonde au bras droit de la recourante, suite à une brûlure avec le fer à repasser, et d'une plaie entre l'index et le majeur gauche, suite à une blessure avec un outil de</w:t>
      </w:r>
    </w:p>
    <w:p>
      <w:r>
        <w:t>- 10/12-</w:t>
      </w:r>
    </w:p>
    <w:p>
      <w:r>
        <w:t>A/1204/2007 jardinage, dans un contexte peu clair, probablement des chutes, en lien avec la prise de médicaments, selon la patiente. Cela étant, compte tenu de la divergence dans les diagnostics entre les médecins du SMR, le médecin traitant et les médecins du département psychiatrique des HUG, ainsi que la divergence de l'appréciation de la capacité de travail par ces médecins, il appert nécessaire de compléter l'instruction par une expertise psychiatrique judiciaire.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