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ATAS/261/2020 vom 2. April 2020</w:t>
      </w:r>
    </w:p>
    <w:p>
      <w:r>
        <w:t>GE Cour de justice, 2020-04-02, FR</w:t>
      </w:r>
    </w:p>
    <w:p>
      <w:r>
        <w:rPr>
          <w:b/>
        </w:rPr>
        <w:t xml:space="preserve">Quelle: </w:t>
      </w:r>
      <w:r>
        <w:t>https://mcp.opencaselaw.ch/entscheid/ge_gerichte_ATAS_261_2020</w:t>
      </w:r>
    </w:p>
    <w:p>
      <w:r>
        <w:t>FR: GE_GERICHTE ATAS/261/2020 du 2 avril 2020</w:t>
      </w:r>
    </w:p>
    <w:p>
      <w:r>
        <w:t>IT: GE_GERICHTE ATAS/261/2020 del 2 aprile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A/3303/2018 - 14/27 -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bien-fondé du refus de prestations de l’intimé, plus particulièrement, sur l’existence ou non d’une atteinte à la santé invalidante et, cas échéant, sur le degré et l’évolution de la capacité de travail dans le temps.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A/3303/2018 - 15/27 -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w:t>
      </w:r>
    </w:p>
    <w:p>
      <w:r>
        <w:t>A/3303/2018 - 16/27 - Dans un arrêt du 11 juillet 2019 (ATF 145 V 215),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w:t>
      </w:r>
    </w:p>
    <w:p>
      <w:r>
        <w:t>A/3303/2018 - 17/27 -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w:t>
      </w:r>
    </w:p>
    <w:p>
      <w:r>
        <w:rPr>
          <w:b/>
        </w:rPr>
        <w:t>E. 8</w:t>
      </w:r>
    </w:p>
    <w:p>
      <w:r>
        <w:t>Ces indicateurs sont classés comme suit : I. Catégorie « degré de gravité fonctionnelle »</w:t>
      </w:r>
    </w:p>
    <w:p>
      <w:r>
        <w:t>A/3303/2018 - 18/27 -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w:t>
      </w:r>
    </w:p>
    <w:p>
      <w:r>
        <w:t>A/3303/2018 - 19/27 -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w:t>
      </w:r>
    </w:p>
    <w:p>
      <w:r>
        <w:t>A/3303/2018 - 20/27 -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w:t>
      </w:r>
    </w:p>
    <w:p>
      <w:r>
        <w:t>A/3303/2018 - 21/27 -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l’espèce, l’intimé considère, se fiant à l’avis émis le 26 février 2018 par le Dr G______, du SMR, que, contrairement à l’avis de l’expert et des médecins traitants de la recourante, celle-ci n’a souffert d’aucune atteinte à la santé invalidante de façon durable. Il y a lieu d’examiner d’abord la valeur probante de l’expertise du Prof. F______, dont il convient de rappeler qu’il a été dûment mandaté par l’intimé lui-même. La Cour de céans constate que le rapport de l’expert remplit tous les réquisits jurisprudentiels : l’expertise est fondée sur une documentation complète et des diagnostics précis, les conclusions sont discutées de manière convaincante et les contradictions relevées par le SMR quant à l’incapacité de travail retenue en dépit d’une atteinte psychique dont il avait été indiqué qu’elle était en voie</w:t>
      </w:r>
    </w:p>
    <w:p>
      <w:r>
        <w:t>A/3303/2018 - 24/27 - d’amélioration, voire même pratiquement guérie, ont été longuement et clairement explicitées par l’expert lors de son audition par la Cour. Ainsi que le relève la recourante, l’intimé ne pouvait purement et simplement écarter l’expertise sur la foi du simple avis lapidaire et non motivé du SMR, qui, sans aucune explication, a déclaré qu’il retenait pour sa part un « alcoolisme primaire », notion dont il a été relevé plus haut qu’elle n’est au surplus plus d’actualité depuis la nouvelle jurisprudence du Tribunal fédéral. Comme indiqué supra, un rapport du SMR a pour fonction d'opérer la synthèse des renseignements médicaux versés au dossier, de prendre position à leur sujet et de prodiguer des recommandations quant à la suite à donner au dossier sur le plan médical. S’il n’est certes pas dénué de toute valeur probante, il convient toutefois de poser des exigences strictes en matière de preuve, lesquelles ne sont à l’évidence pas remplies par le document émis le 16 février 2018, dépourvu de toute explication quant aux raisons pour lesquelles il s’écarte de l’avis de l’expert. Longuement entendu par la Cour de céans, celui-ci a expliqué de manière convaincante pour quelles raisons il avait retenu une incapacité de travail transitoire, malgré une atteinte psychique déjà bien améliorée. Il a notamment évoqué la nécessité de procéder par pallier au vu de la durée de l’éloignement du marché du travail, d’une part, de l’absence de rémission totale, d’autre part, de l’arrêt de la médication et de la fragilité encore présente chez l’assurée et du risque de rechute, enfin. Il ne s’agit nullement là de facteurs sociaux mais bien d’éléments induits par la maladie en elle-même. On ne voit pas non plus trace de l’exagération des symptômes alléguée par l’intimé dans sa réponse au recours. La recourante n’a pas caché que son état était en voie certaine d’amélioration, ce qu’a d’ailleurs retenu l’expert. Si celui-ci a brièvement fait état de facteurs extra médicaux, c’est seulement pour expliquer dans quel contexte s’était produite la décompensation chez l’assurée, dont il a d’ailleurs souligné qu’elle avait été évaluée différemment par les thérapeutes au fil du temps. Eu égard à ce qui précède, la Cour de céans ne voit aucune raison de nier la valeur probante de l’expertise du Prof. F______, aucun indice concret ne permettant de s’en écarter. L’avis isolé et non motivé de la Dresse E______ concluant à un PTSD sans relater aucun critère diagnostique ne saurait suffire, pas plus, comme déjà dit, que l’avis du Dr G______, pas plus motivé. Suivant l’avis de l’expert, il y a donc lieu de retenir une totale incapacité de travail de septembre 2015 - date à laquelle la Dresse E______ conclut pour la première fois à un état dépressif sévère - jusqu’à la date de l’expertise, réduite à compter de décembre 2017 à 50%, à 25% à compter de juin 2018 puis à 0% dès décembre 2018, selon les explications fournies par l’expert en audience. Tout comme lui, la Cour de céans constate que le psychiatre traitant de l’assurée en juin 2015 - période à laquelle son médecin-traitant parlait d’une totale incapacité de travail due à un état anxio-dépressif important – ne retenait pour sa part aucune incapacité - raison</w:t>
      </w:r>
    </w:p>
    <w:p>
      <w:r>
        <w:t>A/3303/2018 - 25/27 - pour laquelle la relation thérapeutique semble d’ailleurs avoir été interrompue. En l’absence d’avis de spécialiste contraire et de toute description du status par le Dr C______ à l’époque, on ne saurait considérer comme établie l’existence d’une atteinte à la santé psychique invalidante alors. L’incapacité totale de travail a été admise par l’expert sur la base des avis des médecins-traitants. A cet égard, des investigations complémentaires telles que réclamées par la recourante n’apparaissent pas utiles. En effet, ainsi que l’a fait remarquer l’expert, s’agissant d’une période passée, il n’existe guère d’autres éléments que les indications (évaluations, mais également descriptions de status et anamnèses) fournies par les médecins-traitants et procéder autrement qu’en se fondant sur celles-ci relèverait « de la divination ». Avec l’expert psychiatre, la Cour considère qu’il est établi au degré de la vraisemblance prépondérante qu’il y a eu incapacité totale de travail à compter de septembre 2015. Contrairement à ce qu’allègue la recourante, la question de l’évolution de son incapacité dans le temps a bel et bien été posée dans le cadre de la mission d’expertise. Si l’expert n’a pu se montrer beaucoup plus précis, c’est au vu de l’éloignement dans le temps et de l’absence d’éléments concrets plus détaillés. Une expertise nouvelle se heurterait aux mêmes difficultés. De la même manière, il n’apparaît pas utile d’investiguer plus avant la situation gynécologique dans la mesure où il est établi que les problèmes somatiques ont été résolus fin 2013, grâce à la dernière intervention, étant rappelé que la demande de prestation est postérieure de plus de six mois. Enfin, le syndrome d’apnées du sommeil est connu depuis longtemps, l’assurée est appareillée et ce diagnostic a été qualifié de non invalidant par son médecin- traitant. Eu égard aux considérations qui précèdent, la Cour retient comme établie au degré de la vraisemblance prépondérante requis une incapacité de travail de 100% de septembre 2015 à novembre 2017, de 50% de décembre 2017 à mai 2018, de 25% de juin à novembre 2018, date à laquelle elle a retrouvé une pleine capacité de travail dans une activité adaptée telle que décrite par l’expert, qui évoquait une activité de représentation, telle que réceptionniste, ou d’accompagnement, mettant en exergue les capacités relationnelles de l’assurée, permettant d’éviter l’exposition au stress. Au vu de ce qui précède, le recours est partiellement admis et la décision du 21 août 2018 annulée. L’intimé n’ayant procédé à aucune investigation quant au calcul du degré d’invalidité – puisqu’il avait écarté toute atteinte invalidante – il y a lieu de lui renvoyer la cause pour instruction complémentaire, examen du degré d’invalidité par sa division de réadaptation et nouvelle décision. La recourante obtenant partiellement gain de cause, une indemnité de CHF 4'500.- lui est accordée à titre de participation à ses frais et dépens (art. 61 let. g LPGA; art.</w:t>
      </w:r>
    </w:p>
    <w:p>
      <w:r>
        <w:t>A/3303/2018 - 26/27 - 6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A/3303/2018 - 27/27 -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