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ATAS/261/2016 vom 31. März 2016</w:t>
      </w:r>
    </w:p>
    <w:p>
      <w:r>
        <w:t>GE Cour de justice, 2016-03-31, FR</w:t>
      </w:r>
    </w:p>
    <w:p>
      <w:r>
        <w:rPr>
          <w:b/>
        </w:rPr>
        <w:t xml:space="preserve">Quelle: </w:t>
      </w:r>
      <w:r>
        <w:t>https://mcp.opencaselaw.ch/entscheid/ge_gerichte_ATAS_261_2016</w:t>
      </w:r>
    </w:p>
    <w:p>
      <w:r>
        <w:t>FR: GE_GERICHTE ATAS/261/2016 du 31 mars 2016</w:t>
      </w:r>
    </w:p>
    <w:p>
      <w:r>
        <w:t>IT: GE_GERICHTE ATAS/261/2016 del 31 marzo 2016</w:t>
      </w:r>
    </w:p>
    <w:p>
      <w:pPr>
        <w:pStyle w:val="Heading2"/>
      </w:pPr>
      <w:r>
        <w:t>Erwägungen</w:t>
      </w:r>
    </w:p>
    <w:p>
      <w:r>
        <w:rPr>
          <w:b/>
        </w:rPr>
        <w:t>E. 1</w:t>
      </w:r>
    </w:p>
    <w:p>
      <w:r>
        <w:t>Conformément à l'art. 134 al. 1 let. a ch. 2 de la loi sur l'organisation judiciaire, du 26 septembre 2010 (LOJ - E 2 05) en vigueur dès le 1er janvier 2011, la chambre</w:t>
      </w:r>
    </w:p>
    <w:p>
      <w:r>
        <w:t>A/2166/2015 - 13/22 -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règles applicables sont celles en vigueur au moment où les faits juridiquement déterminants se sont produits (ATF 130 V 445), étant précisé que le juge n'a pas à prendre en considération les modifications du droit ou de l'état de fait postérieures à la date déterminante de la décision litigieuse (ATF 129 V 1 consid. 1.2).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Par ailleurs, la loi fédérale du 16 décembre 2005 modifiant la LAI entrée en vigueur le 1er juillet 2006 (RO 2006 2003) a apporté des modifications, notamment en matière de procédure (art. 52, 58 et 61 let. a LPGA).</w:t>
      </w:r>
    </w:p>
    <w:p>
      <w:r>
        <w:rPr>
          <w:b/>
        </w:rPr>
        <w:t>E. 3</w:t>
      </w:r>
    </w:p>
    <w:p>
      <w:r>
        <w:t>Interjeté dans les forme et délai légaux (art. 56 à 60 LPGA), le recours est recevable.</w:t>
      </w:r>
    </w:p>
    <w:p>
      <w:r>
        <w:rPr>
          <w:b/>
        </w:rPr>
        <w:t>E. 4</w:t>
      </w:r>
    </w:p>
    <w:p>
      <w:r>
        <w:t>Est litigieuse en l’espèce la question du degré d’invalidité à reconnaître à la recourante et celle de son évolution dans le temps.</w:t>
      </w:r>
    </w:p>
    <w:p>
      <w:r>
        <w:rPr>
          <w:b/>
        </w:rPr>
        <w:t>E. 5</w:t>
      </w:r>
    </w:p>
    <w:p>
      <w:r>
        <w:t>Préalablement à toute discussion, il convient de relever que, par erreur, la première page de la décision litigieuse mentionne un quart de rente, dans le tableau récapitulatif des prestations, pour la période de mai 2012 à octobre 2014, alors que les montants octroyés correspondent manifestement à une rente entière de mai 2012 à juin 2014 et à un trois-quarts de rente de juillet à octobre 2014, soit aux taux retenus dans le dispositif de la décision litigieuse et d’ailleurs correctement récapitulés en bas de la première page de la décision.</w:t>
      </w:r>
    </w:p>
    <w:p>
      <w:r>
        <w:rPr>
          <w:b/>
        </w:rPr>
        <w:t>E. 6</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w:t>
      </w:r>
    </w:p>
    <w:p>
      <w:r>
        <w:t>A/2166/2015 - 14/22 - Est réputée invalidité l’incapacité de gain totale ou partielle présumée permanente ou de longue durée (art. 8 al. 1 LPGA et 4 al. 1 LAI).</w:t>
      </w:r>
    </w:p>
    <w:p>
      <w:r>
        <w:rPr>
          <w:b/>
        </w:rPr>
        <w:t>E. 7</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8</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w:t>
      </w:r>
    </w:p>
    <w:p>
      <w:r>
        <w:t>A/2166/2015 - 15/22 -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A/2166/2015 - 16/22 -</w:t>
      </w:r>
    </w:p>
    <w:p>
      <w:r>
        <w:rPr>
          <w:b/>
        </w:rPr>
        <w:t>E. 10</w:t>
      </w:r>
    </w:p>
    <w:p>
      <w:r>
        <w:t>En premier lieu, il convient d’examiner les rapports médicaux versés au dossier et leur valeur probante afin de déterminer s’il se justifie de mettre sur pied une nouvelle expertise pluridisciplinaire ainsi que le requiert la recourante. S’agissant de la période du 12 avril au 31 décembre 2005, il n’est pas contesté que l’assurée a été dans l’incapacité totale d’exercer la moindre activité. S’agissant de la période de janvier 2006 à mai 2008, c’est à tort que l’intimé retient une totale capacité de travail en se basant sur l’expertise du Dr F_____, puisque celle-ci a été expressément écartée par le Tribunal cantonal dans son jugement du 23 juillet 2009. Le Tribunal a nié toute valeur probante à ce rapport, pour les raisons rappelées dans la partie « en fait » du présent arrêt et sur lesquelles la Cour de céans n’entend pas revenir ici. Aucun élément au dossier n’indiquant que l’état de l’assurée se serait amélioré début 2006, il y a lieu de conclure que l’incapacité totale de travail a perduré au-delà de décembre 2005, à tout le moins jusqu’au 13 avril 2006, date à laquelle la Dresse D_____ a admis une capacité de 50% dans une activité adaptée. Suite au jugement du Tribunal, une expertise pluridisciplinaire (rhumatologique, neurologique et psychiatrique) a été demandée à la PMU, laquelle a rendu son rapport le 21 avril 2010. On constate que les rapports d'examen des experts se fondent sur une anamnèse détaillée, un examen clinique de l’intéressée, qu’ils tiennent compte des plaintes émises par celle-ci, qu’ils ont été établi en pleine connaissance du dossier et que leurs conclusions, dûment motivées, ne laissent pas apparaître de contradiction. Il y a donc lieu de reconnaître au rapport de la PMU pleine valeur probante ce, d'autant plus que les diagnostics retenus par les experts somaticiens sont corroborées par les autres rapports versés au dossier. Quant aux conclusions de l’expert psychiatre, qui retient un épisode dépressif moyen, elles ne sont remises en question par aucun document postérieur versé à la procédure. Dans ces conditions, il convient de retenir à titre de diagnostics une spondylarthrose L5-S1 sévère, une protrusion discale, une discopathie en L4-L5 et un état dépressif moyen, dont les experts ont précisé qu’ils réduisaient globalement la capacité de travail de 50%. A cet égard, l’avis unilatéral et péremptoire du SMR, consistant à s’écarter des conclusions des experts pour retenir une capacité de 70% au motif que le trouble douloureux chronique ne devrait pas se voir reconnaître de caractère invalidant ne saurait être suivi. En effet, l’expert psychiatre a expressément exclu le diagnostic de trouble somatoforme douloureux. Quant à celui de trouble douloureux chronique suggéré par le SMR, il n’a été retenu par aucun des experts de la PMU. Au contraire, comme déjà dit, ceux-ci ont pu objectiver des atteintes somatiques sous la forme d’une spondylarthrose qualifiée de sévère, avec une quasi-disparition de l’espace intervertébral, d’une protrusion discale avec possible conflit radiculaire et d’une discopathie lombaire.</w:t>
      </w:r>
    </w:p>
    <w:p>
      <w:r>
        <w:t>A/2166/2015 - 17/22 - Il y a donc lieu de retenir qu’au printemps 2010, date de l’expertise, la capacité de travail de l’assurée n’était que de 50%, ce qui rejoint les conclusions de la Dresse D_____, qui ne les avait pas étayées en détail. On peut certes déplorer un certain flou pour la période d’avril 2006 à avril 2010, date à laquelle les experts se sont prononcés. Cependant, ainsi que cela a été relevé, les conclusions en termes de capacité de travail de la Dresse D_____ rejoignent finalement l’appréciation des experts de la PMU et, dans l’intervalle, aucun autre document médical probant ne permet de conclure à une amélioration ou à une péjoration de l’état de la recourante. Ainsi que l’avait déjà relevé le Tribunal cantonal, les divers rapports du Dr C_____ sont contradictoires dans la mesure où ce médecin, après avoir conclu à une aptitude à 100% dans une profession plus légère (17 mars 2006), s’est ensuite rallié à la capacité résiduelle de travail de 50 % fixée par le maître socio-professionnel sans apporter aucune motivation sur le plan médical (23 mai 2007), avant de se référer à l’appréciation d’un conseiller en personnel de l’OCE non médecin pour admettre une inaptitude totale (27 décembre 2007), puis d’alléguer en audience le 11 décembre 2008, que les troubles dégénératifs de sa patiente ne permettaient aucune capacité résiduelle de travail, tout en admettant qu’une capacité résiduelle à raison d'une à deux heures par jour pourrait être envisagée. Eu égard à l’ensemble des documents médicaux versés au dossier, il paraît vraisemblable que la capacité résiduelle de 50% évoquée par la Dresse D_____ est demeurée inchangée jusqu’à la date de l’expertise de la PMU, qui l’a confirmée. Dans ces conditions et étant rappelé que la demande de prestations remonte à 2006 déjà et que l’état de la recourante est désormais différent, la Cour de céans renonce à mettre sur pied une nouvelle expertise pour confirmer, a posteriori, le degré de capacité de travail de la recourante entre avril 2006 et avril 2010. En mars 2012, suite à une aggravation signalée en mars 2011 par son médecin- traitant, sous la forme d’un canal lombaire étroit sévère, l’assurée a été expertisée par le Dr M_____, qui a estimé que s’il y avait certes eu péjoration, celle-ci ne justifiait pas une incapacité de plus de 50% dans une activité adaptée. Aucun élément médical ne permettant de jeter le doute sur les conclusions, au demeurant fort bien motivées de l’expert, il y a lieu de se rallier à son avis et d’admettre que la capacité résiduelle de travail de l’assurée dans une activité adaptée a perduré. Cependant, l’examen du Dr M_____, le Dr C_____ a fait état d’une nouvelle aggravation (diminution du canal lombaire de 7 à 5,2 mm), laquelle devait finalement conduire à une opération lourde en octobre 2013. L’intimé reconnaît ladite aggravation (au demeurant également attestée par les Drs O_____ et P_____) et admet qu’elle a entraîné une totale incapacité de travail à compter du 1er mai 2012, ce qui n’est pas contesté. Pour ce qui est de la suite, l’intimé considère que l’état de la recourante s’est vraisemblablement amélioré suite à l’intervention, ce qu’a confirmé son médecin traitant par téléphone, et ce, depuis avril 2014, date à partir de laquelle le</w:t>
      </w:r>
    </w:p>
    <w:p>
      <w:r>
        <w:t>A/2166/2015 - 18/22 - Dr C_____ a considéré que sa patiente avait recouvré une capacité de 50% dans un poste adapté. A cet égard, la recourante, si elle conclut à l’octroi d’une rente entière sans limite dans le temps, ne fait valoir aucun élément médical susceptible de corroborer le fait qu’elle serait restée dans l’incapacité totale de travailler au-delà du mois d’avril 2014. C’est donc à juste titre que l’intimé lui a reconnu une capacité de travail de 50% depuis l’amélioration attendue suite à l’opération et confirmée par le médecin-traitant. En définitive, il ressort de ce qui précède que la capacité de travail de la recourante a évolué depuis 2005 de la manière suivante : - 0% du 12 avril 2005 à avril 2006, - 50% d’avril 2006 à avril 2011, - 0% de mai 2012 à avril 2014, - 50% depuis avril 2014.</w:t>
      </w:r>
    </w:p>
    <w:p>
      <w:r>
        <w:rPr>
          <w:b/>
        </w:rPr>
        <w:t>E. 11</w:t>
      </w:r>
    </w:p>
    <w:p>
      <w:r>
        <w:t>Il convient à présent de déterminer à quels taux d'invalidité cela correspond et quelles prestations doit se voir reconnaître la recourante. a) Conformément à l'art. 28 al. 1 LAI, l'assuré a droit à un quart de rente s'il est invalide à 40% au moins, à une demi-rente s’il est invalide à 50%, à un trois-quarts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w:t>
      </w:r>
    </w:p>
    <w:p>
      <w:r>
        <w:t>A/2166/2015 - 19/22 -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A l’issue du délai de carence, soit le 12 avril 2006, l’assurée avait recouvré une capacité de travail de 50%. En l’espèce, il ressort des informations données par le dernier employeur de la recourante qu’en 2006, sans atteinte à sa santé, elle aurait réalisé un revenu de CHF 49'200.-, montant qu’il convient de retenir à titre de revenu sans invalidité. Quant au revenu d’invalide, en l’absence de reprise d’activité in casu, il convient de se référer aux salaires statistiques tels qu’ils découlent de l’Enquête suisse sur la structure des salaires éditée par l’Office fédéral de la statistique (ESS). Ainsi que cela a été dit supra, en 2006, l’assurée aurait pu exercer à mi-temps une activité adaptée. Pour fixer le revenu d'invalide, il convient de se fonder, conformément à la jurisprudence (ATF 129 V 472 consid. 4.2.1 p. 475), sur le revenu auquel peuvent prétendre les salariés effectuant des activités simples et répétitives (TA1, niveau 4 de qualification).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w:t>
      </w:r>
    </w:p>
    <w:p>
      <w:r>
        <w:t>A/2166/2015 - 20/22 - non qualifiées, n'impliquant pas de formation particulière et compatibles avec des limitations fonctionnelles peu contraignantes (arrêt 9C_692/2015 du 23 février 2016 consid. 3.1 ; arrêt I 171/04 du 1er avril 2005 consid. 4.2, in REAS 2005 p. 240). Selon les données de l'ESS 2006, le revenu mensuel standardisé d'une femme exerçant une activité simple et répétitive s'élevait, tous domaines confondus, à CHF 4'019.- par mois (valeur médiane). Ce salaire hypothétique doit être rectifié pour tenir compte du fait que les salaires bruts standardisés sont calculés sur la base d’un horaire de travail de 40 h./sem., soit une durée hebdomadaire inférieure à la moyenne usuelle dans les entreprises (41,7 h./sem. en 2006 : La Vie économique, 6-2013 p. 90, tabelle B 9.2). On obtient dès lors, pour un horaire de travail moyen de 41,7 heures (cf. ATF 126 V 81 consid. 7a), un salaire annuel brut, en 2006, de CHF 50'278.-, soit, à mi-temps et après réduction de 25% pour tenir compte de l’âge de l’assurée, de son taux d’occupation réduit et de l’interdiction des mouvements de précision, un revenu d’invalide de CHF 18'854.- qui, comparé au revenu avant invalidité, conduit à un degré d’invalidité de 61.68%, ouvrant droit à un trois-quarts de rente dès avril 2006. c) Puis, de mai 2012 à avril 2014, la capacité de travail de l’assurée a été nulle, de sorte qu’elle s’est confondue avec sa capacité de gain et lui a ouvert droit à une rente entière d’invalidité et ce, à compter du 1er juillet 2012 (art. 88a al. 1 du règlement du 17 janvier 1961 sur l’assurance-invalidité du 17 janvier 1961 [RAI - RS 831.201]). d) A compter d’avril 2014, la recourante a recouvré une capacité résiduelle de 50% dans une activité adaptée. En 2014, le revenu avant invalidité se serait élevé à CHF 54'411.- (montant de CHF 49'200.- actualisé, selon l’indice suisse des salaires). Quant au revenu d’invalide, en l’absence de reprise d’activité in casu, il convient une fois encore de se référer aux salaires statistiques tels qu’ils découlent de l’ESS. Ainsi que cela a été dit supra, en 2014, l’assurée aurait pu exercer à mi-temps une activité adaptée. Selon les données de l'ESS 2010, le revenu mensuel standardisé d'une femme exerçant une activité simple et répétitive s'élevait, tous domaines confondus, à CHF 4'225.- par mois (valeur médiane), ce qui correspond, après actualisation, à un montant de CHF 4'379.- en 2014. Ce salaire hypothétique doit être rectifié pour tenir compte du fait que les salaires bruts standardisés sont calculés sur la base d’un horaire de travail de 40 h./sem., soit une durée hebdomadaire inférieure à la moyenne usuelle dans les entreprises (41,7 h./sem. en 2014). On obtient dès lors, pour un horaire de travail moyen de 41,7 heures (cf. ATF 126 V 81 consid. 7a), un salaire annuel brut, en 2014, de CHF 54'781.-, soit, à mi-temps et après réduction de 25% pour tenir compte de l’âge de l’assurée, de son taux d’occupation réduit et de l’interdiction des mouvements de précision, un revenu d’invalide de CHF 20'543.- qui, comparé au revenu avant invalidité, conduit</w:t>
      </w:r>
    </w:p>
    <w:p>
      <w:r>
        <w:t>A/2166/2015 - 21/22 - à un degré d’invalidité de 62.24%, ouvrant droit à un trois-quarts de rente dès juillet 2014 (art. 88a al. 1 RAI).</w:t>
      </w:r>
    </w:p>
    <w:p>
      <w:r>
        <w:rPr>
          <w:b/>
        </w:rPr>
        <w:t>E. 12</w:t>
      </w:r>
    </w:p>
    <w:p>
      <w:r>
        <w:t>Eu égard aux considérations qui précèdent, le recours doit être partiellement admis en ce sens que la recourante se voit reconnaître le droit aux rentes suivantes : - un trois-quarts de rente dès avril 2006, - une rente entière dès juillet, - un trois-quarts de rente dès juillet 2014.</w:t>
      </w:r>
    </w:p>
    <w:p>
      <w:r>
        <w:t>A/2166/2015 - 22/22 -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