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ATAS/261/2015 vom 13. April 2015</w:t>
      </w:r>
    </w:p>
    <w:p>
      <w:r>
        <w:t>GE Cour de justice, 2015-04-13, FR</w:t>
      </w:r>
    </w:p>
    <w:p>
      <w:r>
        <w:rPr>
          <w:b/>
        </w:rPr>
        <w:t xml:space="preserve">Quelle: </w:t>
      </w:r>
      <w:r>
        <w:t>https://mcp.opencaselaw.ch/entscheid/ge_gerichte_ATAS_261_2015</w:t>
      </w:r>
    </w:p>
    <w:p>
      <w:r>
        <w:t>FR: GE_GERICHTE ATAS/261/2015 du 13 avril 2015</w:t>
      </w:r>
    </w:p>
    <w:p>
      <w:r>
        <w:t>IT: GE_GERICHTE ATAS/261/2015 del 13 aprile 2015</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w:t>
      </w:r>
    </w:p>
    <w:p>
      <w:r>
        <w:t>A/1680/2014 - 7/14 -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la décision sur opposition du 14 avril 2014 a été adressée à l'intéressée par courrier recommandé, mais la date de notification de cette décision n'est pas établie à teneur des pièces du dossier. Le recours a été formé le 27 mai 2014. Dans la mesure où le fardeau de la preuve de la date de notification incombe en principe à l'autorité et que cette dernière ne conteste pas que le recours a été formé dans le délai légal, il se justifie de retenir que ce délai a été respecté. Interjeté dans les formes et délai légaux, le recours est ainsi recevable.</w:t>
      </w:r>
    </w:p>
    <w:p>
      <w:r>
        <w:rPr>
          <w:b/>
        </w:rPr>
        <w:t>E. 4</w:t>
      </w:r>
    </w:p>
    <w:p>
      <w:r>
        <w:t>En l'espèce, l'objet du litige porte sur le calcul du droit de la recourante aux prestations complémentaires à compter du 1er février 2014.</w:t>
      </w:r>
    </w:p>
    <w:p>
      <w:r>
        <w:rPr>
          <w:b/>
        </w:rPr>
        <w:t>E. 5</w:t>
      </w:r>
    </w:p>
    <w:p>
      <w:r>
        <w:t>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L'art. 10 LPC énumère - de manière exhaustive (ATF non publié 9C_822/2009 du 7 mai 2010 consid. 3.3 et la référence, in SVR 2011 EL n° 2 p. 5) - les dépenses reconnues.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Selon l'art. 10 al. 2 LPC, pour les personnes qui vivent en permanence ou pour une longue période dans un home ou dans un hôpital, les dépenses reconnues comprennent :</w:t>
      </w:r>
    </w:p>
    <w:p>
      <w:r>
        <w:t>A/1680/2014 - 8/14 -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b. un montant, arrêté par les cantons, pour les dépenses personnelles. Selon l'art. 4 al. 1 du règlement d’application de la loi sur les prestations fédérales complémentaires à l’assurance-vieillesse et survivants et à l’assurance-invalidité du 23 décembre 1998 (RPFC; J 4 20.01), la taxe journalière maximale à prendre en considération en raison du séjour dans un établissement médico-social ou dans un établissement pour personnes handicapées correspond au prix de pension agréé par l'autorité cantonale, conformément à la loi sur la gestion des établissements pour personnes âgées, du 4 décembre 2009, et à la loi sur l'intégration des personnes handicapées, du 16 mai 2003. Selon l'al. 2 de l'art. 4 RPFC, le forfait pour dépenses personnelles s'élève à CHF 3'600.- par an pour les personnes âgées et à CHF 5'400.- par an pour les personnes invalides. Il est versé par mensualités avec la prestation. Le Tribunal fédéral a précisé au sujet du principe du forfait prévu à l'art. 10 LPC, que la nature même du forfait implique qu'il ne se détermine pas, et ne varie donc pas, par rapport aux dépenses effectives de chaque cas particulier, mais règle de manière unifiée des situations semblables - le montant pour dépenses personnelles des personnes vivant dans un home ou un hôpital -, entre autres motifs pour des raisons pratiques (ATF 138 V 67 consid. 4.3; ATF 131 V 256 consid. 5.5). Selon l’art. 11 al. 1 LPC, les revenus déterminants comprennent notamment le produit de la fortune mobilière et immobilière (let. b), un dixième de la fortune nette pour les bénéficiaires de rentes de vieillesse, dans la mesure où elle dépasse CHF 37’500.- (let. c), les rentes de l’AVS et de l’AI (let. d), et les ressources et parts de fortune dont un ayant droit s’est dessaisi (let. g). L’art. 11 al. 2 LPC prévoit que, pour les personnes vivant dans un home ou dans un hôpital, les cantons peuvent fixer le montant de la fortune qui sera pris en compte en dérogeant à l’al. 1er let. c. Les cantons sont autorisés à augmenter, jusqu’à concurrence d’un cinquième, ce montant. Le canton de Genève a fait usage de cette possibilité, fixant la prise en compte de la fortune, pour les bénéficiaires de rentes de vieillesse vivant dans un home ou dans un établissement médico-social, à un cinquième (art. 2 al. 2 de la loi sur les prestations fédérales complémentaires à l'assurance-vieillesse et survivants et à l'assurance-invalidité du 14 octobre 1965 (LPFC; J 4 20).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w:t>
      </w:r>
    </w:p>
    <w:p>
      <w:r>
        <w:t>A/1680/2014 - 9/14 -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En d’autres termes, ne sont à considérer comme fortune imputable au sens de l’art. 11 al. 1 let. c LPC que les actifs que l’assuré a effectivement reçus et dont il peut disposer sans restriction (ATF 110 V 17 consid. 3). Selon l'art. 17 al. 1 de l'Ordonnance sur les prestations complémentaires à l’assurance-vieillesse, survivants et invalidité du 15 janvier 1971 (OPC-AVS/AI; RS 831.301), la fortune prise en compte doit être évaluée selon les règles de la législation sur l'impôt cantonal direct du canton du domicile. Selon l'art. 47 let. c de la loi cantonale genevoise sur l'imposition des personnes physiques du 27 septembre 2009 (LIPP; D 3 08), sont notamment soumis à l’impôt sur la fortune l'argent comptant, les dépôts dans les banques et caisses d'épargne, les soldes de comptes courants et tous titres représentant la possession d'une somme d'argent. L'art. 15c OPC-AVS/AI dispose que la valeur de rachat des rentes viagères avec restitution est prise en compte comme élément de fortune (al. 1). Aucun rendement hypothétique de la valeur de rachat n'est pris en compte dans les revenus déterminants (al. 2). Est prise en compte dans les revenus déterminants la rente périodique versée, à concurrence de 80 % (al. 3, let. a) et une éventuelle participation aux excédents, en totalité (let. b). L'art. 15c al. 1 OPC-AVS/AI est conforme à la loi et à la Constitution (arrêts [du Tribunal fédéral des assurances] P 33/03 du 27 novembre 2003, consid. 2 in VSI 2004 p. 191, et P 48/00 du 20 août 2001, consid. 4b, c et d in VSI 2001 p. 289 ss; Pierre FERRARI, Dessaisissement volontaire et prestations complémentaires à l'AVS/AI, RSAS 2002 p. 422 ss.). Depuis l'entrée en vigueur, le 1er janvier 1999, de l'art. 15c OPC-AVS/AI, la valeur économique du droit de base est prise en compte comme élément de fortune. Dans le cadre des rentes viagères avec restitution, le capital restant revient, en cas de décès prématuré, à la personne bénéficiaire désignée par le contrat. Les rentes viagères avec restitution ont une valeur de rachat (cf. le commentaire de l'OFAS de l'art. 15c OPC-AVS/AI, in VSI 1998 p. 275 ss.).</w:t>
      </w:r>
    </w:p>
    <w:p>
      <w:r>
        <w:rPr>
          <w:b/>
        </w:rPr>
        <w:t>E. 6</w:t>
      </w:r>
    </w:p>
    <w:p>
      <w:r>
        <w:t>A teneur de l'art. 4 LPCC, ont droit aux prestations complémentaires cantonales les personnes dont le revenu annuel déterminant n’atteint pas le revenu minimum cantonal d’aide sociale applicable. Le montant de la prestation complémentaire</w:t>
      </w:r>
    </w:p>
    <w:p>
      <w:r>
        <w:t>A/1680/2014 - 10/14 - correspond à la différence entre les dépenses reconnues et le revenu déterminant du requérant (art. 15 al. 1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Le forfait pour dépenses personnelles s'élève à CHF 3'600.- par an pour les personnes âgées (art. 3 al. 3 du règlement relatif aux prestations cantonales complémentaires à l'assurance-vieillesse et survivants et à l'assurance-invalidité (RPCC; AVS/AI).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 Selon l’art. 7 LPCC,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w:t>
      </w:r>
    </w:p>
    <w:p>
      <w:r>
        <w:rPr>
          <w:b/>
        </w:rPr>
        <w:t>E. 7</w:t>
      </w:r>
    </w:p>
    <w:p>
      <w:r>
        <w:t>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La prestation complémentaire annuelle doit toujours être calculée compte tenu des rentes, pensions et autres prestations périodiques en cours (art. 23 al. 1, 2 et 3 OPC- AVS/AI et art. 9 LPCC).</w:t>
      </w:r>
    </w:p>
    <w:p>
      <w:r>
        <w:rPr>
          <w:b/>
        </w:rPr>
        <w:t>E. 8</w:t>
      </w:r>
    </w:p>
    <w:p>
      <w:r>
        <w:t>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et lors d'un contrôle périodique, si l'on constate un changement des dépenses reconnues, des revenus déterminants et de la</w:t>
      </w:r>
    </w:p>
    <w:p>
      <w:r>
        <w:t>A/1680/2014 - 11/14 - fortune; on pourra renoncer à rectifier la prestation complémentaire annuelle, lorsque la modification est inférieure à 120 francs par an (d). Selon l’art. 25 al. 2 let. c et d OPC-AVS/AI, la nouvelle décision doit porter effet dès la date suivante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 Selon l’art. 25 al. 3 OPC-AVS/AI, en vigueur depuis le 1er janvier 1998, suite à une diminution de la fortune, un nouveau calcul de la prestation complémentaire annuelle ne peut être effectué qu'une fois par an. La chambre de céans a jugé que l’art. 25 al. 3 OPC-AVS/AI était conforme à la loi, en particulier à la délégation législative prévue aux art. 9 al. 5 et 33 LPC et que son but était d’empêcher qu’une prestation complémentaire ne doive être recalculée plusieurs fois par an lorsque la fortune de l’ayant droit diminue (Commentaire sur les modifications de l’OPC établi par l’Office fédéral des assurances sociales, in RCC 1986, p. 393). La chambre de céans a jugé que cette disposition fixe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La sécurité du droit doit manifestement l’emporter sur la possibilité d’un justiciable de remettre continuellement en question une décision entrée en force (ATAS/1412/2012 du 3 mai 2012). Selon l’art. 19 LPCC, la prestation est modifiée selon les règles prévues en matière de prestations complémentaires fédérales à l’assurance-vieillesse, survivants et invalidité. Selon l'art. 9 al. 3 LPCC, en cas de modification importante des ressources ou de la fortune du bénéficiaire, la prestation est fixée conformément à la situation nouvelle. Dans un arrêt 9C_777/2013 du 13 février 2014, le Tribunal fédéral a jugé qu'il y avait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L'amortissement de la fortune systématique et</w:t>
      </w:r>
    </w:p>
    <w:p>
      <w:r>
        <w:t>A/1680/2014 - 12/14 - indépendant des circonstances particulières était en revanche prohibé (arrêt du Tribunal fédéral 9C_968/2012 du 22 octobre 2013 consid. 6). Le principe jurisprudentiel selon lequel la décision sur opposition de l'organe de l'assurance sociale fixe la limite temporelle de l'état de fait déterminant (parmi de nombreux autres arrêts, ATF 131 V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p. 411).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w:t>
      </w:r>
    </w:p>
    <w:p>
      <w:r>
        <w:rPr>
          <w:b/>
        </w:rPr>
        <w:t>E. 9</w:t>
      </w:r>
    </w:p>
    <w:p>
      <w:r>
        <w:t>a. En l'espèce, le SPC a pris en compte, dans son plan de calcul du 14 avril 2014 pour la période dès le 1er février 2014, pour les PCF et PCC, au titre des dépenses, CHF 73'000.- de prix de pension de l'EMS, où réside la recourante, et CHF 3'600.- de forfait de dépenses personnelles. Il a ainsi correctement appliqué les art. 10 LPC, 4 al. 1 et 2 RPFC et 6 LPCC applicables en la matière. b. Au titre du revenu déterminant, le SPC a tenu compte, pour les PCF et PCC, de la rente AVS touchée par la recourante, ce qu'elle ne conteste pas, et ce qui est conforme à l'art. 11 al. 1 let. d LPC et 5 LPCC. Il a tenu compte, pour les PCF et PCC, comme élément de fortune de l'intéressée, du montant de l'épargne à hauteur de CHF 35'546.50, sur la base des derniers relevés bancaires qui lui ont été transmis qui datent de février ou mars 2014, conformément aux prescriptions des art. 11 al. 1 LPC, 23 al. 1 et 2 OPC-AVS/AI, 7 et 9 LPCC. Il se justifiait en particulier de prendre en compte le montant de la garantie versée à la Fondation B______, ce montant faisant partie de la fortune de l'intéressée. Le SPC a pris en compte, à juste titre, pour les PCF et PCC, comme élément de fortune de l'intéressée, le montant de rachat de la rente viagère, dès lors qu'il s'agit d'une rente viagère avec restitution au sens de l'art. 15c al. 1 OPC-AVS/AI, qui peut être rachetée par l'intéressée selon les conditions générales de la Zurich Assurance. Il se justifiait de déduire du montant de CHF 123'217.- (dernier montant pris en compte pour calculer les prestations dues en 2013), les rentes versées en 2013, dans la mesure où c'est l'état de la fortune au 1er janvier de l'année pour laquelle la prestation est servie qui doit être pris en considération, selon les art. 23 al. 1 OPC- AVS/AI et art. 9 al. 1 let. b LPCC). Le SPC a calculé, pour les PCF et PCC, la part de la fortune à retenir comme élément de revenu déterminant conformément à l'art. 11 al. 1 et 2 LPC et 5 let. c</w:t>
      </w:r>
    </w:p>
    <w:p>
      <w:r>
        <w:t>A/1680/2014 - 13/14 - LPCC (CHF 113'732.- + CHF 35'546.50 = CHF 149'278.50 – CHF 37'500.- de revenu déterminant = CHF 111'778.50 x 1/5ème = CHF 22'355.70). La prise en compte, pour les PCF et PCC, dans le revenu déterminant de la rente viagère à hauteur de CHF 8'388.25, était également conforme à l'art. 15c al. 3 let. a et b OPC-AVS/AI, puisque ce montant a été établi sur la base de la rente annuelle et de la participation aux excédents versée en 2013 (CHF 9'484.80 x 80% = CHF 7'587.84 + CHF 800.40). S'agissant des PCC, le SPC a ajouté au revenu déterminant, établi comme pour les PCF, le montant de cette dernière, conformément à ce que prescrit l'art. 5 let. a) LPCC. c. Le plan de calcul du SPC dès le 14 février 2014 a ainsi été établi de manière conforme au droit et la décision du 14 avril 2014 du SPC doit être confirmée. d. Même si le montant de l'épargne de l'intéressée a diminué depuis lors, le SPC n'a pas à procéder à un nouveau calcul avant l'échéance d'une année depuis sa dernière décision, en application de l’art. 25 al. 3 OPC-AVS/AI, qui a été jugé conforme à la délégation législative prévue aux art. 9 al. 5 et 33 LPC et en application de l'art. 19 LPCC. e La baisse du montant des prestations complémentaires entre 2013 et 2014, dont s'étonne la recourante, s'explique par le fait que, contrairement à son impression fondée sur la baisse de son compte épargne, sa fortune personnelle n'a pas diminué, mais, au contraire, augmenté, suite au décès de son conjoint, puisqu'elle est dorénavant seule titulaire de la valeur de rachat de la rente viagère, alors qu'auparavant, cette valeur était répartie sur deux personnes. Par ailleurs, sa rente AVS a également augmenté puisque le SPC a pris en compte en 2013 à ce titre CHF 19'620.- (soit la moitié de la rente partagée) et en 2014 CHF 26'808.-. Si ses revenus ne lui permettent plus de payer ses dépenses, l'intéressée peut racheter la rente viagère, ce qui lui permettra de disposer de cet élément de fortune. Chaque année, le SPC devra tenir compte de l'état actualisé de cette dernière.</w:t>
      </w:r>
    </w:p>
    <w:p>
      <w:r>
        <w:rPr>
          <w:b/>
        </w:rPr>
        <w:t>E. 10</w:t>
      </w:r>
    </w:p>
    <w:p>
      <w:r>
        <w:t>Le recours, mal fondé, doit être rejeté.</w:t>
      </w:r>
    </w:p>
    <w:p>
      <w:r>
        <w:rPr>
          <w:b/>
        </w:rPr>
        <w:t>E. 11</w:t>
      </w:r>
    </w:p>
    <w:p>
      <w:r>
        <w:t>La procédure est gratuite.</w:t>
      </w:r>
    </w:p>
    <w:p>
      <w:r>
        <w:t>A/1680/2014 - 14/14 -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