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ATAS/260/2025 vom 15. April 2025</w:t>
      </w:r>
    </w:p>
    <w:p>
      <w:r>
        <w:t>GE Cour de justice, 2025-04-15, FR</w:t>
      </w:r>
    </w:p>
    <w:p>
      <w:r>
        <w:rPr>
          <w:b/>
        </w:rPr>
        <w:t xml:space="preserve">Quelle: </w:t>
      </w:r>
      <w:r>
        <w:t>https://mcp.opencaselaw.ch/entscheid/ge_gerichte_ATAS_260_2025</w:t>
      </w:r>
    </w:p>
    <w:p>
      <w:r>
        <w:t>FR: GE_GERICHTE ATAS/260/2025 du 15 avril 2025</w:t>
      </w:r>
    </w:p>
    <w:p>
      <w:r>
        <w:t>IT: GE_GERICHTE ATAS/260/2025 del 15 aprile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rPr>
          <w:b/>
        </w:rPr>
        <w:t>E. 1.3</w:t>
      </w:r>
    </w:p>
    <w:p>
      <w:r>
        <w:t>Le délai de recours est de 30 jours (art. 56 LPGA ; art. 62 al. 1 de la loi sur la procédure administrative du 12 septembre 1985 [LPA - E 5 10]). Interjeté dans la forme et le délai prévus par la loi, compte tenu de la suspension des délais pour la période du 15 juillet au 15 août inclusivement (art. 38 al. 4 let. b LPGA et art. 89C let. b LPA), le recours est recevable.</w:t>
      </w:r>
    </w:p>
    <w:p>
      <w:r>
        <w:rPr>
          <w:b/>
        </w:rPr>
        <w:t>E. 2</w:t>
      </w:r>
    </w:p>
    <w:p>
      <w:r>
        <w:t>Le litige porte sur le bien-fondé de la décision du 11 juillet 2024, par laquelle l’intimé a octroyé au recourant une rente d’invalidité entière pour la période limitée du 1er mai 2023 au 29 février 2024, singulièrement sur la suppression de cette prestation à compter du 1er mars 2024.</w:t>
      </w:r>
    </w:p>
    <w:p>
      <w:r>
        <w:rPr>
          <w:b/>
        </w:rPr>
        <w:t>E. 3</w:t>
      </w:r>
    </w:p>
    <w:p>
      <w:r>
        <w:t>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w:t>
      </w:r>
    </w:p>
    <w:p>
      <w:r>
        <w:rPr>
          <w:b/>
        </w:rPr>
        <w:t>E. 3.1</w:t>
      </w:r>
    </w:p>
    <w:p>
      <w:r>
        <w:t>Le 1er janvier 2022, les modifications de la LAI du 19 juin 2020 (développement continu de l’AI ; RO 2021 705) ainsi que celles du</w:t>
      </w:r>
    </w:p>
    <w:p>
      <w:r>
        <w:rPr>
          <w:b/>
        </w:rPr>
        <w:t>E. 3.2</w:t>
      </w:r>
    </w:p>
    <w:p>
      <w:r>
        <w:t>En l’occurrence, l’intimé a supprimé la rente d’invalidité accordée au recourant à compter du 1er mars 2024, de sorte que les dispositions légales applicables seront citées dans leur nouvelle teneur.</w:t>
      </w:r>
    </w:p>
    <w:p>
      <w:r>
        <w:t>A/2936/2024 - 10/18 -</w:t>
      </w:r>
    </w:p>
    <w:p>
      <w:r>
        <w:rPr>
          <w:b/>
        </w:rPr>
        <w:t>E. 4</w:t>
      </w:r>
    </w:p>
    <w:p>
      <w:r>
        <w:t>Conformément aux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Aux termes de l’art. 88a al. 1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4.1</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applicable par analogie (ATF 148 V 321 consid. 7.3.1 ; 145 V 209 consid. 5.3 et les références ; 130 V 343 consid. 3.5.2 ; 125 V 413 consid. 2d et les références). 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w:t>
      </w:r>
    </w:p>
    <w:p>
      <w:r>
        <w:t>A/2936/2024 - 11/18 -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 Une amélioration de la capacité de gain ou de la capacité d'accomplir les travaux habituels de l'assuré n'est déterminante pour la suppression de tout ou partie du droit aux prestations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(art. 88a al. 1 RAI). Le fardeau de la preuve quant à cette amélioration de la capacité de travail incombe à l’administration (arrêt du Tribunal fédéral 8C_510/2020 du 15 avril 2021 consid. 2.2 et les références). Un motif de révision a été retenu notamment lorsqu’une méthode différente d’évaluation de l’invalidité s’applique (arrêt du Tribunal fédéral 8C_716/2022 du</w:t>
      </w:r>
    </w:p>
    <w:p>
      <w:r>
        <w:rPr>
          <w:b/>
        </w:rPr>
        <w:t>E. 5</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w:t>
      </w:r>
    </w:p>
    <w:p>
      <w:r>
        <w:t>A/2936/2024 - 13/18 -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 Selon une jurisprudence constante, le juge des assurances sociales apprécie la légalité des décisions attaquées, en règle générale, d’après l’état de fait existant au</w:t>
      </w:r>
    </w:p>
    <w:p>
      <w:r>
        <w:t>A/2936/2024 - 14/18 -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I.321/04 du 18 juillet 2005 consid. 5).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w:t>
      </w:r>
    </w:p>
    <w:p>
      <w:r>
        <w:rPr>
          <w:b/>
        </w:rPr>
        <w:t>E. 7</w:t>
      </w:r>
    </w:p>
    <w:p>
      <w:r>
        <w:t>En l’espèce, l’intimé a retenu, conformément à l’avis du 16 février 2024 du SMR, que le recourant avait récupéré une capacité de travail entière dans une activité adaptée dès le 30 novembre 2023, ce qui justifiait de supprimer la rente octroyée dès le 1er mai 2023 après trois mois d’amélioration de sa capacité de travail, soit dès le 1er mars 2024. Le recourant conteste cette évaluation et fait grief à l’intimé d’avoir privilégié les conclusions du rapport des HUG au détriment de celles de son médecin traitant. Il relève à cet égard que le service d’hématologie ne s’était pas prononcé sur sa capacité de travail et qu’il existait un doute raisonnable sur son état de santé, comme reconnu par l’intimé dans son mandat du 15 février 2024. Il reproche également à l’intimé de ne pas avoir tenu compte de ses troubles psychiques, attestés dès le 15 novembre 2023.</w:t>
      </w:r>
    </w:p>
    <w:p>
      <w:r>
        <w:rPr>
          <w:b/>
        </w:rPr>
        <w:t>E. 7.1</w:t>
      </w:r>
    </w:p>
    <w:p>
      <w:r>
        <w:t>Dans son rapport de novembre 2023, le Dr F______ a retenu deux diagnostics ayant des répercussions sur la capacité de travail, soit une anémie hémolytique auto-immune d'origine idiopathique et des vertiges paroxystiques positionnels bénins. Il a expliqué que son patient était très diminué sur les plans physique et psychique, faisant état d’une fatigue intense. Il a retenu, à titre de limitations fonctionnelles, les positions prolongées, le port de charge de plus de 5 kg, la marche en terrain irrégulier, le travail sur des échelles et des échafaudages, ainsi que la conduite.</w:t>
      </w:r>
    </w:p>
    <w:p>
      <w:r>
        <w:rPr>
          <w:b/>
        </w:rPr>
        <w:t>E. 7.1.1</w:t>
      </w:r>
    </w:p>
    <w:p>
      <w:r>
        <w:t>En ce qui concerne les atteintes à la santé somatique, il ressort du rapport des HUG du 1er décembre 2023 que l’épisode d’anémie hémolytique auto-immune</w:t>
      </w:r>
    </w:p>
    <w:p>
      <w:r>
        <w:t>A/2936/2024 - 15/18 - était complètement résolu lors de la consultation du 30 novembre 2023, de sorte que le diagnostic retenu par la Dre H______ n’est pas contestable. S’agissant des vertiges paroxystiques positionnels bénins, dont l’existence a été confirmée par le rapport du 19 octobre 2023 de la Dre E______, ils ont également été dûment pris en considération par la médecin-conseil. Le Dr F______ a expressément indiqué que la gastrite et le diabète n’avaient aucune influence sur la capacité de travail. Il sera en outre relevé que le rapport d’échographie de l’épaule gauche du 29 septembre 2023 a uniquement conclu à une tendinose inflammatoire non rupturée et isolée du supra-épineux, et que le Dr D______ n’a retenu aucune pathologie suite à son bilan cardiovasculaire et à un test d’effort. D’ailleurs, le médecin-traitant, auquel ces résultats ont été envoyés, tout comme le rapport d’IRM cérébrale du 18 octobre 2023, n’y a fait aucune référence dans son rapport destiné à l’intimé. Enfin, le rapport du 16 janvier 2024 du Dr J______ concernait en réalité un autre patient. Partant, le SMR a retenu tous les diagnostics somatiques que le médecin-traitant a considéré comme ayant des répercussions sur la capacité de travail, ce qui n’est au demeurant pas contesté. Le recourant ne soutient en effet pas qu’il souffrirait d’autres troubles physiques qui auraient été omis par le SMR.</w:t>
      </w:r>
    </w:p>
    <w:p>
      <w:r>
        <w:rPr>
          <w:b/>
        </w:rPr>
        <w:t>E. 7.1.2</w:t>
      </w:r>
    </w:p>
    <w:p>
      <w:r>
        <w:t>S’agissant des limitations fonctionnelles et de l’évaluation de la capacité de travail, il est rappelé que les spécialistes du service d’hématologie des HUG ont attesté, dans leur rapport du 1er décembre 2023, que l’épisode d’anémie hémolytique auto-immune était complètement résolu lors de leur consultation du 30 novembre 2023. Ils ont précisé que le patient était en bon état général, que l’examen clinique était sans particularité et que l’extrême fatigue dont il se plaignait n’avait pas une origine hématologique. Ainsi, même si ce document ne se détermine pas expressément sur la capacité de travail du recourant, force est de constater qu’aucune restriction ne saurait être retenue en lien avec une atteinte qui n’est plus présente. L’appréciation de la Dre H______, laquelle a estimé que l’anémie hémolytique auto-immune d'origine idiopathique résolue n’entrainait plus de limitations fonctionnelles et ne justifiait plus aucune restriction de la capacité de travail à compter du 30 novembre 2023, ne prête ainsi pas le flanc à la critique. Concernant les vertiges, la médecin-conseil a admis certaines contre-indications évoquées par le médecin traitant, à savoir le travail sur des échelles et des échafaudages. Elle semble toutefois avoir omis, par inadvertance, la restriction liée à la conduite, que le Dr F______ a motivée en expliquant que le patient ne pouvait pas conduire en raison des vertiges et des malaises à répétition. Cette limitation fonctionnelle peut donc être considérée comme établie, au degré de la vraisemblance prépondérante requis, et il y a lieu de conclure que l’activité adaptée ne doit pas comprendre la conduite professionnelle de véhicule.</w:t>
      </w:r>
    </w:p>
    <w:p>
      <w:r>
        <w:t>A/2936/2024 - 16/18 - Quant aux autres restrictions énoncées par le Dr F______, la chambre de céans constate qu’il n’a livré aucune explication permettant de comprendre les raisons pour lesquelles son patient ne pourrait pas exercer un métier exigeant le maintien des positions prolongées et le port de charge de plus de 5 kg. Il est relevé à ce propos que la Dre E______ a mentionné que le patient ne présentait ni lombalgies, ni douleurs aux membres inférieurs, et que le rapport des HUG du 1er décembre 2023 confirme que le recourant est en bon état général, que son examen clinique est sans particularité, que le bilan cardiologique et pneumologique s’était révélé normal, et que la seule plainte consistait en l’extrême fatigue alléguée. Ces éléments permettent d’écarter les restrictions d’épargne citées par le médecin traitant en lien avec les positions prolongées, le port de charge limité et la marche en terrain irrégulier, puisqu’aucune pièce produite dans le cadre de la présente procédure ne vient conforter l’appréciation du Dr F______ à ce propos.</w:t>
      </w:r>
    </w:p>
    <w:p>
      <w:r>
        <w:rPr>
          <w:b/>
        </w:rPr>
        <w:t>E. 7.1.3</w:t>
      </w:r>
    </w:p>
    <w:p>
      <w:r>
        <w:t>Contrairement à ce que soutient le recourant, le mandat SMR, qui indique que les rapports du généraliste traitant et du service d’hématologie des HUG « semblent contradictoires », ne permet pas de conclure à l’existence d’un doute raisonnable quant à son état de santé. Le dossier médical a précisément été transmis au SMR afin qu’il analyse les renseignements médicaux produits et détermine les atteintes à la santé à retenir, les limitations fonctionnelles qui en découlent et l’évaluation de la capacité de travail dans l’activité habituelle et dans un métier adapté. La Dre H______ a rempli son mandat et conclu que les rapports en sa possession étaient suffisants pour prendre position. Aucun élément ne permet de douter de la fiabilité ou de la pertinence des constatations du SMR, étant précisé que la seule absence de mention de la conduite à titre de limitation fonctionnelle ne saurait remettre en cause la valeur probante de cette détermination. L’intimé était donc fondé à suivre les conclusions de l’avis du 16 février 2024. Enfin, la chambre de céans constate que, dans sa lettre adressée à l’intimé le 23 juillet 2024, le Dr F______ n’a soulevé aucun argument médical susceptible de douter de l’appréciation de la Dre H______.</w:t>
      </w:r>
    </w:p>
    <w:p>
      <w:r>
        <w:rPr>
          <w:b/>
        </w:rPr>
        <w:t>E. 7.1.4</w:t>
      </w:r>
    </w:p>
    <w:p>
      <w:r>
        <w:t>Sur le plan psychique, le médecin traitant du recourant a signalé, dans son rapport de novembre 2023, que son patient était « très diminué sur le plan physique et psychique ». Il n’a cependant fait mention d’aucun symptôme et d’aucune limitation sur le plan psychiatrique. Il n’a pas non plus fait état d’un suivi spécialisé, ni d’une indication à en organiser un. Il n’a pas indiqué qu’un quelconque traitement médicamenteux aurait été introduit ou se justifiait en raison d’une affection psychique. De surcroît, les différents rapports des HUG ne suggèrent pas non plus des difficultés de cet ordre.</w:t>
      </w:r>
    </w:p>
    <w:p>
      <w:r>
        <w:t>A/2936/2024 - 17/18 - La seule mention d’une diminution sur le plan psychique ne saurait suffire pour retenir l’existence d’une atteinte à la santé. Le premier document transmis à l’intimé qui fait état de symptômes sur le plan psychique est le rapport du 23 juillet 2024 du Dr F______, soit un document établi postérieurement à la décision litigieuse. Si le médecin traitant a attesté que les troubles étaient déjà présents en novembre 2023, force est toutefois de constater qu’il ne les avait pas mentionnés dans son rapport rédigé à l’époque, ce qui permet de douter de cette affirmation. S’agissant de l’attestation du 4 octobre 2024 de K______ et du rapport du</w:t>
      </w:r>
    </w:p>
    <w:p>
      <w:r>
        <w:rPr>
          <w:b/>
        </w:rPr>
        <w:t>E. 7.2</w:t>
      </w:r>
    </w:p>
    <w:p>
      <w:r>
        <w:t>Compte tenu de ce qui précède, le grief tiré d’un établissement incomplet et erroné des faits doit être rejeté. Il s'ensuit que les demandes de comparution personnelle et d'audition de témoin s’avèrent superflues et peuvent être rejetées, par appréciation anticipée des preuves.</w:t>
      </w:r>
    </w:p>
    <w:p>
      <w:r>
        <w:rPr>
          <w:b/>
        </w:rPr>
        <w:t>E. 7.3</w:t>
      </w:r>
    </w:p>
    <w:p>
      <w:r>
        <w:t>Le recourant ne fait valoir aucun argument à l’encontre des revenus avec et sans invalidité retenus dans la décision litigieuse et ne conteste pas le calcul du degré d’invalidité effectué par l’intimé. Rien ne justifie de s’en écarter. Il en découle donc que l’intimé était fondé à supprimer le droit à la rente du recourant dès le 1er mars 2024, compte tenu de l’amélioration de son état de santé qui lui a permis de récupérer une capacité de gain dans une activité adaptée dès le 1er novembre 2023. 8. Au vu de ce qui précède, le recours est rejeté. Il convient de renoncer à la perception d'un émolument, le recourant étant au bénéfice de l'assistance juridique (art. 69 al. 1bis LAI et 13 al. 1 du règlement sur les frais, émoluments et indemnités en procédure administrative du 30 juillet 1986 [RFPA - E 5 10.03]).</w:t>
      </w:r>
    </w:p>
    <w:p>
      <w:r>
        <w:t>A/2936/2024 - 18/18 - PAR CES MOTIFS, LA CHAMBRE DES ASSURANCES SOCIALES : Statuant À la forme :</w:t>
      </w:r>
    </w:p>
    <w:p>
      <w:r>
        <w:rPr>
          <w:b/>
        </w:rPr>
        <w:t>E. 12</w:t>
      </w:r>
    </w:p>
    <w:p>
      <w:r>
        <w:t>décembre 2024 de la Dre L______, ces documents ont également été rendus après le prononcé de la décision du 11 juillet 2024. En outre, le recourant n’a débuté son suivi spécialisé auprès de la psychiatre que le 3 octobre 2024. Dans ces conditions, la chambre de céans ne saurait prendre en considération ces documents pour apprécier le bien-fondé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