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ATAS/260/2024 vom 22. April 2024</w:t>
      </w:r>
    </w:p>
    <w:p>
      <w:r>
        <w:t>GE Cour de justice, 2024-04-22, FR</w:t>
      </w:r>
    </w:p>
    <w:p>
      <w:r>
        <w:rPr>
          <w:b/>
        </w:rPr>
        <w:t xml:space="preserve">Quelle: </w:t>
      </w:r>
      <w:r>
        <w:t>https://mcp.opencaselaw.ch/entscheid/ge_gerichte_ATAS_260_2024</w:t>
      </w:r>
    </w:p>
    <w:p>
      <w:r>
        <w:t>FR: GE_GERICHTE ATAS/260/2024 du 22 avril 2024</w:t>
      </w:r>
    </w:p>
    <w:p>
      <w:r>
        <w:t>IT: GE_GERICHTE ATAS/260/2024 del 22 aprile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w:t>
      </w:r>
    </w:p>
    <w:p>
      <w:r>
        <w:rPr>
          <w:b/>
        </w:rPr>
        <w:t>E. 1.2</w:t>
      </w:r>
    </w:p>
    <w:p>
      <w:r>
        <w:t>Selon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w:t>
      </w:r>
    </w:p>
    <w:p>
      <w:r>
        <w:rPr>
          <w:b/>
        </w:rPr>
        <w:t>E. 1.3</w:t>
      </w:r>
    </w:p>
    <w:p>
      <w:r>
        <w:t>L'ancien employeur du recourant, lequel est domicilié en France, est situé dans le canton de Genève. Partant, la chambre de céans est compétente à raison de la matière et du lieu pour juger du cas d'espèce.</w:t>
      </w:r>
    </w:p>
    <w:p>
      <w:r>
        <w:rPr>
          <w:b/>
        </w:rPr>
        <w:t>E. 2</w:t>
      </w:r>
    </w:p>
    <w:p>
      <w:r>
        <w:t>À teneur de l'art. 1 al. 1 LAA, les dispositions de la LPGA s'appliquent à l'assurance-accidents, à moins que la loi n'y déroge expressément.</w:t>
      </w:r>
    </w:p>
    <w:p>
      <w:r>
        <w:rPr>
          <w:b/>
        </w:rPr>
        <w:t>E. 3</w:t>
      </w:r>
    </w:p>
    <w:p>
      <w:r>
        <w:t>Le 1er janvier 2021 est entrée en vigueur la modification du 21 juin 2019 de la LPGA. Dans la mesure où le recours (du 20 novembre 2023) a été interjeté postérieurement au 1er janvier 2021, il est soumis au nouveau droit (cf. art. 82a LPGA a contrario).</w:t>
      </w:r>
    </w:p>
    <w:p>
      <w:r>
        <w:rPr>
          <w:b/>
        </w:rPr>
        <w:t>E. 4</w:t>
      </w:r>
    </w:p>
    <w:p>
      <w:r>
        <w:t>Le 1er janvier 2017 est entrée en vigueur la modification du 25 septembre 2015 de la LAA. Dans la mesure où l'accident est survenu après cette date (le 14 décembre 2017), le droit du recourant aux prestations d'assurance est soumis au nouveau droit (cf. al. 1 des dispositions transitoires relatives à la modification du 25 septembre 2015 ; arrêt du Tribunal fédéral 8C_662/2016 du 23 mai 2017</w:t>
      </w:r>
    </w:p>
    <w:p>
      <w:r>
        <w:t>A/3842/2023 - 15/21 - consid. 2.2). Les dispositions légales seront donc citées ci-après dans leur teneur en vigueur à compter du 1er janvier 2017.</w:t>
      </w:r>
    </w:p>
    <w:p>
      <w:r>
        <w:rPr>
          <w:b/>
        </w:rPr>
        <w:t>E. 5</w:t>
      </w:r>
    </w:p>
    <w:p>
      <w:r>
        <w:t>Interjeté dans la forme (art. 61 let. b LPGA) et le délai (art. 60 et 38 al. 3 LPGA ; art. 62 al. 1 let. a de la loi sur la procédure administrative, du 12 septembre 1985 [LPA - E 5 10]) prévus par la loi, le recours est recevable.</w:t>
      </w:r>
    </w:p>
    <w:p>
      <w:r>
        <w:rPr>
          <w:b/>
        </w:rPr>
        <w:t>E. 6</w:t>
      </w:r>
    </w:p>
    <w:p>
      <w:r>
        <w:t>Le litige porte, d'une part, sur la stabilisation de l'état de santé du recourant au 30 septembre 2022 et, d'autre part, sur sa capacité de travail dans une activité adaptée, son taux d'invalidité ainsi que le taux de l'IPAI.</w:t>
      </w:r>
    </w:p>
    <w:p>
      <w:r>
        <w:rPr>
          <w:b/>
        </w:rPr>
        <w:t>E. 7.1</w:t>
      </w:r>
    </w:p>
    <w:p>
      <w:r>
        <w:t>Selon l'art. 6 al. 1 LAA, les prestations d'assurance sont allouées en cas d'accident professionnel, d'accident non professionnel et de maladie professionnelle.</w:t>
      </w:r>
    </w:p>
    <w:p>
      <w:r>
        <w:rPr>
          <w:b/>
        </w:rPr>
        <w:t>E. 7.2</w:t>
      </w:r>
    </w:p>
    <w:p>
      <w:r>
        <w:t>La responsabilité de l’assureur-accidents s’étend, en principe, à toutes les conséquences dommageables qui se trouvent dans un rapport de causalité naturelle (ATF 129 V 177 consid. 3.1 et les références ; 129 V 402 consid. 4.3.1 et les références) et adéquate avec l’événement assuré (ATF 129 V 177 consid. 3.2 et la référence ; 129 V 402 consid. 2.2 et les références).</w:t>
      </w:r>
    </w:p>
    <w:p>
      <w:r>
        <w:rPr>
          <w:b/>
        </w:rPr>
        <w:t>E. 7.3</w:t>
      </w:r>
    </w:p>
    <w:p>
      <w:r>
        <w:t>Les notions de syndrome douloureux régional complexe (CRPS - Complex regional pain syndrome en anglais), algodystrophie ou maladie de Suedeck appartiennent aux maladies neurologiques, orthopédiques et traumatologiques et constituent ainsi une atteinte à la santé physique, respectivement corporelle (arrêt du Tribunal fédéral 8C_234/2023 du 12 décembre 2023 consid. 3.2). Ils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et c) une courte période de latence entre l'accident et l'apparition de l'algodystrophie, soit au maximum six à huit semaines (arrêts du Tribunal fédéral 8C_871/2010 du 4 octobre 2011 consid. 3.2 et 8C_384/2009 du 5 janvier 2010 consid. 4.2.1</w:t>
      </w:r>
    </w:p>
    <w:p>
      <w:r>
        <w:t>A/3842/2023 - 16/21 - in SVR 2010 UV n° 18 p. 69). Pour admettre un lien de causalité naturelle, il n'est pas nécessaire que le diagnostic ait été posé dans les six à huit semaines après l’accident ; il est en revanche déterminant que sur la base de constatations médicales effectuées en temps réel, il soit établi que la personne concernée a présenté, au moins partiellement, des symptômes typiques du CRPS durant la période de latence de six à huit semaines après l'accident (arrêt du Tribunal fédéral 8C_234/2023 du 12 décembre 2023 consid. 3.2 et les références). La causalité naturelle peut également être admise si le syndrome fait suite à une opération en lien avec l'accident (arrêt du Tribunal fédéral 8C_27/2019 du 20 août 2019 consid. 6.4.2 et les références citées). Pour la validation du diagnostic, il est communément fait référence aux critères dits « de Budapest », qui sont exclusivement cliniques et associent symptômes et signes dans quatre domaines : sensoriels, vasomoteurs, sudomoteurs/œdème, moteurs/trophiques (arrêt du Tribunal fédéral 8C_234/2023 du 12 décembre 2023 consid. 3.2 et la référence).</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ATF 125 V 256 consid. 4 et les références). Pour apprécier le droit aux prestations d’assurances sociales, il y a lieu de se baser sur des éléments médicaux fiables (ATF 134 V 231 consid 5.1).</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w:t>
      </w:r>
    </w:p>
    <w:p>
      <w:r>
        <w:t>A/3842/2023 - 17/21 - l'expert soient bien motivées (ATF 134 V 231 consid. 5.1 ; ATF 133 V 450 consid. 11.1.3 ; ATF 125 V 351 consid. 3).</w:t>
      </w:r>
    </w:p>
    <w:p>
      <w:r>
        <w:rPr>
          <w:b/>
        </w:rPr>
        <w:t>E. 8.3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A/3842/2023 - 18/21 - ou envisageables, le juge doit, le cas échéant, retenir ceux qui lui paraissent les plus probables (ATF 142 V 435 consid. 1 et les références ; ATF 126 V 353 consid. 5b et les références ; ATF 125 V 193 consid. 2 et les références ; ATF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9.2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10.1</w:t>
      </w:r>
    </w:p>
    <w:p>
      <w:r>
        <w:t>En l'espèce, la décision litigieuse du 19 octobre 2023 se fonde sur les appréciations des 16 mai et 17 octobre 2019, 25 août 2022, ainsi que 6 février, 3 mai et 24 août 2023 du Dr E______, médecin d'arrondissement de l'intimée, qui conclut que les troubles (persistants) au coude droit, dus à l'accident du</w:t>
      </w:r>
    </w:p>
    <w:p>
      <w:r>
        <w:rPr>
          <w:b/>
        </w:rPr>
        <w:t>E. 10.2</w:t>
      </w:r>
    </w:p>
    <w:p>
      <w:r>
        <w:t>À toutes fins utiles, le recourant ne semble pas prétendre que ses (éventuels) troubles psychiques seraient liés à l'accident assuré. Quoi qu'il en soit, dès lors que la clôture séparée d’un cas d’assurance-accidents pour les troubles psychiques d’une part et les troubles somatiques d’autre part n’entre pas en ligne de compte (arrêt du Tribunal fédéral 8C_235/2020 du 15 février 2021 consid. 2.3), vu le renvoi du dossier à l'intimée, il n'y a pas lieu de se prononcer ici de manière définitive à ce sujet. 11. Au vu de ce qui précède, le recours est partiellement admis, la décision litigieuse annulée et la cause renvoyée à l'intimée afin qu'elle procède conformément aux considérants. 12. Le recourant, représenté par un avocat,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2'500.-. 13. Pour le surplus, la procédure est gratuite (art. 61 let. fbis LPGA a contrario).</w:t>
      </w:r>
    </w:p>
    <w:p>
      <w:r>
        <w:t>A/3842/2023 - 21/21 - PAR CES MOTIFS, LA CHAMBRE DES ASSURANCES SOCIALES : Statuant À la forme :</w:t>
      </w:r>
    </w:p>
    <w:p>
      <w:r>
        <w:rPr>
          <w:b/>
        </w:rPr>
        <w:t>E. 14</w:t>
      </w:r>
    </w:p>
    <w:p>
      <w:r>
        <w:t>décembre 2017, n'empêchent pas l'exercice d'une activité adaptée à plein temps. Dans son courrier du 5 mai 2020, l'intimée estimait, en ce qui concerne l'atteinte dégénérative de la colonne vertébrale, que le statu quo était déjà atteint. La question de savoir si ce courrier est assimilé à une décision entrée en force comme si la procédure simplifiée prévue par l'art. 51 al. 1 LPGA a été appliquée à juste titre, faute de réaction de la part du recourant dans le délai d'une année (ATF 134 V 145), peut demeurer ouverte. En effet, même s'il faut retenir que le refus de prise en charge des suites des troubles du rachis n'est pas entré en force au moment où l'intimée a statué le 19 octobre 2023, force est de constater qu'aucun rapport médical au dossier ne contredit la position du Dr E______ exprimée le 17 octobre 2019, selon laquelle l'atteinte dégénérative de la colonne vertébrale n'est</w:t>
      </w:r>
    </w:p>
    <w:p>
      <w:r>
        <w:t>A/3842/2023 - 19/21 - plus imputable à l'accident du 14 décembre 2017, en tout cas au-delà de deux ans après celui-ci, étant relevé que le médecin d'arrondissement est parvenu à cette conclusion en se référant tant aux rapports de consultation des médecins traitants qu'aux rapports d'imagerie. Si tant est que le recourant conteste l'absence de lien de causalité entre ses troubles/douleurs aux épaules et l'accident, de même, en dehors de la contusion initiale de l'épaule gauche posée le 14 décembre 2017, aucun rapport médical au dossier n'atteste de lésion aux épaules en relation avec l'accident au-delà du 31 août 2020, date à laquelle l'intimée a mis fin aux prestations (indemnités journalières et soins médicaux) avant l'annonce de la rechute en février 2022 motivée essentiellement par les douleurs au coude et à la main droits. En ce qui concerne le diagnostic de SDRC sur atteinte du nerf ulnaire (droit) post- accident et post-opératoire retenu par les Drs N______ et O______ dans leur rapport du 15 juin 2023, le Dr E______ l'exclut dans son appréciation du 24 août 2023, en expliquant que ce diagnostic n'a pas été posé par les différents médecins ni dans les suites de l'accident ni dans les suites de l'opération du 8 octobre 2018, que les critères de Budapest n'étaient pas remplis lors de son examen du 13 mai 2019 et que ses deux confrères précités évoquaient les séquelles de la chirurgie du nerf. Ceci étant, le 13 mai 2019, soit sept mois après cette intervention chirurgicale, le Dr E______ a constaté une douleur à la palpation et une hypersensibilité dans la région du coude droit, ainsi qu'une force de préhension de la main diminuée avec un Jamar mesuré à 20 à droite et 72 à gauche (dossier intimée pièce 103 p. 2). On se demande s'il ne s'agit pas là de symptômes sur un plan sensoriel et moteur qui font (déjà) partie, du moins partiellement, des symptômes cliniques typiques du SDRC (arrêt du Tribunal fédéral 8C_416/2019 du 15 juillet 2020 consid. 5.1) développés précisément dans les six à huit mois après l'opération en lien avec l'accident assuré. D'autant plus que les Drs N______ et O______ ont indiqué que les critères de Budapest étaient remplis avec une douleur persistante disproportionnée, une allodynie et une raideur de la main droite, quand bien même il n'y avait pas de rougeur ni de différence de sudation ou de pilosité. Or, si le diagnostic de SDRC devait être confirmé, il n'est pas exclu qu'il ait une incidence sur la date de la stabilisation de l'état de santé, l'exigibilité dans une activité adaptée et cas échéant le degré d'invalidité du recourant (cf. art. 18 et</w:t>
      </w:r>
    </w:p>
    <w:p>
      <w:r>
        <w:rPr>
          <w:b/>
        </w:rPr>
        <w:t>E. 19</w:t>
      </w:r>
    </w:p>
    <w:p>
      <w:r>
        <w:t>al. 1 LAA), ainsi que le taux de l'IPAI (cf. art. 24 LAA). Vu la divergence d'opinions des Drs N______ et O______, d'une part, et du Dr E______, d'autre part, quant à la présence ou non du diagnostic de SDRC d'origine traumatique, impossible à ce stade à départager, il convient de renvoyer le dossier à l'intimée pour qu'elle mette en œuvre une expertise neurologique selon l'art. 44 LPGA. Le renvoi se justifie dans la mesure où une telle expertise n'a pas</w:t>
      </w:r>
    </w:p>
    <w:p>
      <w:r>
        <w:t>A/3842/2023 - 20/21 - été diligentée par l'intimée. L'expert est invité en particulier à se déterminer de manière circonstanciée sur les avis médicaux au dossier.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