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ATAS/260/2021 vom 25. März 2021</w:t>
      </w:r>
    </w:p>
    <w:p>
      <w:r>
        <w:t>GE Cour de justice, 2021-03-25, FR</w:t>
      </w:r>
    </w:p>
    <w:p>
      <w:r>
        <w:rPr>
          <w:b/>
        </w:rPr>
        <w:t xml:space="preserve">Quelle: </w:t>
      </w:r>
      <w:r>
        <w:t>https://mcp.opencaselaw.ch/entscheid/ge_gerichte_ATAS_260_2021</w:t>
      </w:r>
    </w:p>
    <w:p>
      <w:r>
        <w:t>FR: GE_GERICHTE ATAS/260/2021 du 25 mars 2021</w:t>
      </w:r>
    </w:p>
    <w:p>
      <w:r>
        <w:t>IT: GE_GERICHTE ATAS/260/2021 del 25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pendant le 1er janvier 2021, le litige reste soumis à l'ancien droit (cf. art. 83 LPGA).</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 droit du recourant à une rente d’invalidité et à des mesures d’ordre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A/4463/2019 - 11/25 -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A/4463/2019 - 12/25 -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w:t>
      </w:r>
    </w:p>
    <w:p>
      <w:r>
        <w:t>A/4463/2019 - 13/25 -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l’espèce, l’intimé a initialement retenu, dans la décision querellée, que la capacité de travail du recourant était nulle dans son activité habituelle, mais entière dans une activité adaptée à son état de santé. Il s’est fondé sur l’avis du SMR du</w:t>
      </w:r>
    </w:p>
    <w:p>
      <w:r>
        <w:rPr>
          <w:b/>
        </w:rPr>
        <w:t>E. 15</w:t>
      </w:r>
    </w:p>
    <w:p>
      <w:r>
        <w:t>août 2019, lequel a retenu, au vu des derniers bilans pneumologiques, que les atteintes pulmonaires ne présentaient pas de critère de gravité et qu’il convenait donc de s’en tenir aux précédentes conclusions du Dr D______, lequel avait considéré que la capacité de travail du recourant était nulle dans son activité habituelle, mais entière dans une activité adaptée. À cet égard, il sied de relever que le Dr D______ ne s’est pas prononcé sur la capacité de travail du recourant à la suite de l’arrêt de renvoi de la Cour de céans, l’intimé ne lui ayant pas demandé de le faire. Le 6 septembre 2019, le Dr D______ a simplement commenté les derniers bilans pneumologiques et précisé que le traitement par Nucala avait eu des effets très positifs sur les fonctions pulmonaires de son patient. Dans le cadre de la présente procédure, le recourant a produit un nouveau rapport du Dr D______ du 4 février 2020, complétant celui du 6 septembre 2019 et</w:t>
      </w:r>
    </w:p>
    <w:p>
      <w:r>
        <w:t>A/4463/2019 - 14/25 - précisant cette fois que sa capacité de travail était de 50% au maximum dans une activité adaptée de manière définitive, au vu des multiples comorbidités et des nombreux effets secondaires des traitements médicamenteux. Le recourant a également produit un nouveau rapport de la Dresse B______, laquelle a conclu dans le même sens. Le recourant a aussi indiqué avoir séjourné aux HUG du 10 au 13 octobre 2018 en raison d’une hémorragie digestive haute. Interrogée par la Cour de céans, la Dresse B______ a listé toutes les pathologies dont souffre sont patient et précisé l’influence sur la capacité de travail de l’insuffisance veineuse (25%), de l’insuffisance respiratoire (25%) et des autres affections (10% au maximum). Elle en tire la conclusion que la capacité de travail maximale dans une activité adaptée est de 40-50%, tout en précisant que d’autres problèmes de santé, notamment des douleurs dorsales, ont dernièrement empiré. Sur la base de ces derniers rapports, le SMR a admis le caractère invalidant des atteintes pulmonaires, veineuses et ostéo-articulaires, même dans une activité adaptée et s’est rangé aux conclusions des médecins traitants, jugées motivées et objectives, soit une capacité de travail de 50% dans une activité adaptée. Dans la mesure où tant le Dr D______ que le médecin-traitant concluent à une capacité de travail totale définitive de 50% dans une activité adaptée, c’est à juste titre que le SMR a conclu en ce sens. En effet, si le Dr D______ affirme, dans son courrier du 26 mai 2020, n’avoir envisagé que l’atteinte pneumologique, en réalité, il ressort de ses propos antérieurs qu’il a également tenu compte des autres atteintes pour fixer la capacité de travail dans la mesure où il a invoqué expressément les « nombreuses comorbidités » de son patient et ses difficultés économiques à l’appui de son appréciation du 4 février 2020. On ajoutera que les explications de la Dresse E______, du SMR, apparaissent convaincantes. Ce médecin retient même des atteintes incapacitantes supplémentaires (telles l’insuffisance veineuse chronique des membres inférieurs, les dorso-lombalgies chroniques et les hémorragies digestives récidivantes), mais explique que celles-ci n’ont pas de conséquences en termes de capacité de travail pour autant que les limitations fonctionnelles qu’elles induisent (pas d’utilisation d’outils dangereux, nécessité d’alterner les positions) soient respectées. C’est ainsi de manière motivée qu’elle conclut en définitive à une incapacité de travail globale de 50% dans une activité adaptée, rejoignant en cela les conclusions des médecins- traitants. Au vu de ces éléments, du fait que les atteintes sont clairement établies et non contestées, tout comme les limitations fonctionnelles qui en découlent, c’est à juste titre que l’intimé conclut à une capacité de travail exigible de 50% dans un domaine adapté dès octobre 2017. 13. Il convient à présent d’examiner le degré d’invalidité retenu par l’intimé. a. Chez les assurés actifs, le degré d'invalidité doit être évalué sur la base d'une comparaison des revenus. Pour cela, le revenu que l'assuré aurait pu réaliser s'il</w:t>
      </w:r>
    </w:p>
    <w:p>
      <w:r>
        <w:t>A/4463/2019 - 15/25 -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w:t>
      </w:r>
    </w:p>
    <w:p>
      <w:r>
        <w:t>A/4463/2019 - 16/25 -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9C_633/2016 du 28 décembre 2016 consid. 4.3; 9C_603/2015 du 25 avril 2016 consid. 8.1 et 9C_242/2012 du 13 août 2012 consid. 3). Lorsque les revenus avec et sans invalidité sont basés sur les mêmes données statistiques - soit lorsque la personne assurée n'exerçait pas d'activité lucrative avant la survenance de l'atteinte à la santé ou que le revenu sans invalidité ne peut pas être déterminé avec suffisamment de précision (arrêt du Tribunal fédéral des assurances U 243/99 du 23 mai 2000 consid. 2b) -, il est superflu de les chiffrer avec exactitude. En pareil cas, le degré d'invalidité se confond avec celui de l'incapacité de travail, sous réserve d'une éventuelle réduction du revenu d'invalide afin de tenir compte, conformément aux principes développés à l'ATF 126 V 75, de l'ensemble des circonstances personnelles et professionnelles du cas particulier (arrêt du Tribunal fédéral des assurances I 1/03 du 15 avril 2003 consid. 5.2).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w:t>
      </w:r>
    </w:p>
    <w:p>
      <w:r>
        <w:t>A/4463/2019 - 17/25 -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w:t>
      </w:r>
    </w:p>
    <w:p>
      <w:r>
        <w:t>A/4463/2019 - 18/25 -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d.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w:t>
      </w:r>
    </w:p>
    <w:p>
      <w:r>
        <w:t>A/4463/2019 - 19/25 -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e. En l’espèce, à défaut d’une situation professionnelle stable et en l’absence de données complètes sur le revenu que le recourant réalisait avant son atteinte à la santé, il convient de se baser sur les données statistiques telles qu’elles résultent de l’ESS. Il en va de même pour le revenu avec invalidité, le recourant n’ayant pas repris d’activité. Les revenus avec et sans invalidité étant basés sur la même tabelle statistique, c’est à bon droit que l’intimé a indiqué, dans sa dernière écriture, que le degré d’invalidité se confondait avec celui de l’incapacité de travail, sous réserve d’un éventuel abattement. L’intimé a opéré un abattement de 10% sur le revenu d’invalide, afin de tenir compte des limitations fonctionnelles. Eu égard à la jurisprudence du Tribunal fédéral susmentionnée et au large pouvoir d’appréciation dont bénéficie l’intimé sur ce point, la Cour de céans considère que les circonstances personnelles et professionnelle du cas particulier ne justifient pas une réduction supérieure. En effet, le recourant, né en 1972, était encore relativement jeune au moment de l’ouverture du droit à la rente (46 ans en 2018). Par ailleurs, tout nouveau travail va de pair avec une période d'apprentissage, de sorte qu'il n'y a pas lieu d'effectuer un abattement à ce titre (arrêt du Tribunal fédéral 8C_103/2018, 8C_131/2018 du 25 juillet 2018 consid. 5.2 et la référence). De plus, l'influence de la durée de service diminue dans la mesure où les exigences d'un emploi dans le secteur privé sont moins élevées. Ainsi, un abattement pour années de service n'est pas justifié dans le cadre du niveau de compétences 1 dès l'ESS 2012 (arrêt du Tribunal fédéral 8C_883/2015, 8C_884/2015 du 21 octobre 2016 consid. 6.3.2 et les références).</w:t>
      </w:r>
    </w:p>
    <w:p>
      <w:r>
        <w:t>A/4463/2019 - 20/25 - Partant, le degré d’invalidité du recourant s’élève à 55%, ouvrant le droit à un quart de*une demi rente d’invalidité dès le 1er février 2018 (soit à l’échéance du délai d’attente de six mois), sous réserve des prestations déjà versées. * Rectification d'une erreur matérielle le 08.06.2021/SKA/wmh L’intimé ayant dans la décision querellée nié au recourant tout droit à une rente, le recours sera dès lors admis sur ce point. 14. Il reste à déterminer si le recourant a droit à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w:t>
      </w:r>
    </w:p>
    <w:p>
      <w:r>
        <w:t>A/4463/2019 - 21/25 - amélioré/e de manière notable (ATF 124 V 108 consid. 2a ; VSI 1997 p. 85 consid. 1). Selon l'art. 8a LAI,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14a al. 2 LAI, des mesures d'ordre professionnel telles que prévues aux art. 15 à 18c LAI, la remise de moyens auxiliaires conformément aux art. 21 à 21quater LAI, l'octroi de conseils et d'un suivi aux bénéficiaires de rente et à leur employeur (al. 2). Les mesures de réinsertion peuvent être accordées plusieurs fois et excéder la durée d'un an au total (al. 3).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w:t>
      </w:r>
    </w:p>
    <w:p>
      <w:r>
        <w:t>A/4463/2019 - 22/25 -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seuil minimum fixé par la jurisprudence pour ouvrir droit à une mesure de reclassement est une diminution de la capacité de gain de l'ordre de 20% (ATF 130 V 488 consid. 4.2 et les références ; ATF 124 V 108 consid. 3a). Aux termes de l'art. 18 al. 1 LAI (dans sa teneur en vigueur depuis le 1er janvier 2008), l'assuré présentant une incapacité de travail (art. 6 LPGA) et susceptible d'être réadapté a droit : à un soutien actif dans la recherche d'un emploi approprié (let. a) ;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w:t>
      </w:r>
    </w:p>
    <w:p>
      <w:r>
        <w:t>A/4463/2019 - 23/25 - b. En l'occurrence, l'octroi d'une mesure d'orientation professionnelle financée par l'assurance-invalidité apparaît superflue lorsque, comme en l'espèce, le marché du travail offre un éventail suffisamment large d'activités légères, dont un nombre significatif est adapté aux limitations du recourant et accessible sans aucune formation particulière (cf. arrêts du Tribunal fédéral 9C_534/2010 du 10 février 2011 consid. 4.3 ; 9C_236/2012 du 15 février 2013 consid. 3.5). De même, une mesure d’aide au placement ne se justifie pas, le recourant ne présentant pas de limitations fonctionnelles (cécité, mutisme, mobilité limitée, troubles de comportement) qui l'entraveraient dans sa recherche de travail. Cela étant, au vu du taux d’invalidité de 55% reconnu précédemment, une mesure de reclassement au sens de l'art. 17 LAI pourrait être envisageable. Une telle mesure ne se justifie toutefois pas en l’espèce, dès lors que les activités que le recourant est à même d'exercer ne nécessitent pas de formation (cf. arrêt du Tribunal fédéral 9C_467/2012 du 25 février 2013 consid. 5.2 ; ATAS/432/2018 du 23 mai 2018 consid. 15e). Il est en effet rappelé que le Tribunal fédéral considère qu'un marché équilibré du travail offre un nombre significatif d'activités compatibles avec les restrictions présentées par le recourant et accessibles sans aucune formation particulière. On peut à cet égard citer par exemple des tâches simples de surveillance, d'accueil, de réception, de vérification ou de contrôle, pour lesquelles une simple mise au courant suffit. Par conséquent, c'est à bon droit que l'intimé a refusé l'octroi d'une mesure d’ordre professionnel au recourant. 15. Au vu de ce qui précède, le recours sera partiellement admis et la décision litigieuse annulée. Il ne sera pas alloué d'indemnité de procédure au recourant qui n'est pas représenté et n'a pas fait valoir de frais engendrés par la procédure (art. 61 let. g LPGA). Au vu du sort du recours, il y a lieu de condamner l'intimé au paiement d'un émolument de CHF 500.- (art. 69 al. 1bis LAI).</w:t>
      </w:r>
    </w:p>
    <w:p>
      <w:r>
        <w:t>A/4463/2019 - 24/25 -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