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ATAS/25/2020 vom 16. Januar 2020</w:t>
      </w:r>
    </w:p>
    <w:p>
      <w:r>
        <w:t>GE Cour de justice, 2020-01-16, FR</w:t>
      </w:r>
    </w:p>
    <w:p>
      <w:r>
        <w:rPr>
          <w:b/>
        </w:rPr>
        <w:t xml:space="preserve">Quelle: </w:t>
      </w:r>
      <w:r>
        <w:t>https://mcp.opencaselaw.ch/entscheid/ge_gerichte_ATAS_25_2020</w:t>
      </w:r>
    </w:p>
    <w:p>
      <w:r>
        <w:t>FR: GE_GERICHTE ATAS/25/2020 du 16 janvier 2020</w:t>
      </w:r>
    </w:p>
    <w:p>
      <w:r>
        <w:t>IT: GE_GERICHTE ATAS/25/2020 del 16 gennaio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compte tenu de la suspension des délais du 7e jour avant Pâques au 7e jour après Pâques inclusivement (art. 38 al. 4 let. a LPGA et art. 89C let. a de la loi sur la procédure administrative du</w:t>
      </w:r>
    </w:p>
    <w:p>
      <w:r>
        <w:t>- 19/37-</w:t>
      </w:r>
    </w:p>
    <w:p>
      <w:r>
        <w:t>A/1827/2019 12 septembre 1985 [LPA - E 5 10]), le recours est recevable (art. 56 ss LPGA et 62 ss LPA).</w:t>
      </w:r>
    </w:p>
    <w:p>
      <w:r>
        <w:rPr>
          <w:b/>
        </w:rPr>
        <w:t>E. 5</w:t>
      </w:r>
    </w:p>
    <w:p>
      <w:r>
        <w:t>Le litige porte sur le droit du recourant à une rente d’invalidité supérieure à 28 %, à une IPAI d’un degré supérieur à 25 %, ainsi que sur le montant du gain annuel assuré à prendre en compte pour le calcul de la rente.</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w:t>
      </w:r>
    </w:p>
    <w:p>
      <w:r>
        <w:t>- 20/37-</w:t>
      </w:r>
    </w:p>
    <w:p>
      <w:r>
        <w:t>A/1827/2019 d'en rechercher l'étiologie et de vérifier, sur cette base, l'existence du rapport de causalité avec l'événement assuré.</w:t>
      </w:r>
    </w:p>
    <w:p>
      <w:r>
        <w:rPr>
          <w:b/>
        </w:rPr>
        <w:t>E. 7</w:t>
      </w:r>
    </w:p>
    <w:p>
      <w:r>
        <w:t>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w:t>
      </w:r>
    </w:p>
    <w:p>
      <w:r>
        <w:t>- 21/37-</w:t>
      </w:r>
    </w:p>
    <w:p>
      <w:r>
        <w:t>A/1827/2019 ATF 117 V 359 consid. 5d/bb; arrêt du Tribunal fédéral des assurances U 351/04 du 14 février 2006 consid. 3.2).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w:t>
      </w:r>
    </w:p>
    <w:p>
      <w:r>
        <w:rPr>
          <w:b/>
        </w:rPr>
        <w:t>E. 9</w:t>
      </w:r>
    </w:p>
    <w:p>
      <w:r>
        <w:t>a.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w:t>
      </w:r>
    </w:p>
    <w:p>
      <w:r>
        <w:t>- 22/37-</w:t>
      </w:r>
    </w:p>
    <w:p>
      <w:r>
        <w:t>A/1827/2019 capacité de travail et la capacité fonctionnelle de la personne concernée dans le cadre d'une procédure structurée d'administration des preuves à l'aide d'indicateurs (ATF 141 V 281), s'applique dorénavant à toutes les maladies psychiques.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t>- 23/37-</w:t>
      </w:r>
    </w:p>
    <w:p>
      <w:r>
        <w:t>A/1827/2019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w:t>
      </w:r>
    </w:p>
    <w:p>
      <w:r>
        <w:t>- 24/37-</w:t>
      </w:r>
    </w:p>
    <w:p>
      <w:r>
        <w:t>A/1827/2019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w:t>
      </w:r>
    </w:p>
    <w:p>
      <w:r>
        <w:t>- 25/37-</w:t>
      </w:r>
    </w:p>
    <w:p>
      <w:r>
        <w:t>A/1827/2019 l’exigibilité repose sur une base objective (consid. 5.2.2; ATF 137 V 64 consid. 1.2 in fine).</w:t>
      </w:r>
    </w:p>
    <w:p>
      <w:r>
        <w:rPr>
          <w:b/>
        </w:rPr>
        <w:t>E. 10</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w:t>
      </w:r>
    </w:p>
    <w:p>
      <w:r>
        <w:t>- 26/37-</w:t>
      </w:r>
    </w:p>
    <w:p>
      <w:r>
        <w:t>A/1827/2019 moment de la fixation de la rente, il n'est pas encore possible de se prononcer avec certitude sur les conditions du droit à l'indemnité (ATF 119 V 131 consid. 3c).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w:t>
      </w:r>
    </w:p>
    <w:p>
      <w:r>
        <w:rPr>
          <w:b/>
        </w:rPr>
        <w:t>E. 12</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13</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- 29/37-</w:t>
      </w:r>
    </w:p>
    <w:p>
      <w:r>
        <w:t>A/1827/2019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La procédure dans le domaine des assurances sociales est régie par le principe inquisitoire d'après lequel les faits pertinents de la cause doivent être constatés d'office par l'assureur (art. 43 al. 1 LPGA) ou, éventuellement, par le juge (art. 61</w:t>
      </w:r>
    </w:p>
    <w:p>
      <w:r>
        <w:t>- 30/37-</w:t>
      </w:r>
    </w:p>
    <w:p>
      <w:r>
        <w:t>A/1827/2019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17</w:t>
      </w:r>
    </w:p>
    <w:p>
      <w:r>
        <w:t>En l’occurrence, l’intimée a retenu, en se fondant sur l’expertise du Dr O______, qu’en raison de l’agression subie le 9 février 2011, le recourant présente un ESPT entraînant une incapacité de travail de 28 % dans son activité habituelle et une atteinte à l’intégrité de 25 %, ce que le recourant conteste. Il n’est pas contesté, ni contestable au vu des pièces versées au dossier, que le recourant ne présente plus de séquelles somatiques suite à son agression (cf. rapport d’expertise du Dr P______ du 8 décembre 2016). Sur le plan psychique, par rapport du 9 décembre 2016, le Dr O______ a retenu que l’agression du 9 février 2011 avait causé manifestement un ESPT (F43.1) entraînant une capacité de travail résiduelle de 72% dès le 13 mars 2013. Par ailleurs, le recourant présentait un trouble de la personnalité narcissique avec composante dyssociale marquée s’exprimant sur un mode passif-agressif (F60.2). Cette atteinte,</w:t>
      </w:r>
    </w:p>
    <w:p>
      <w:r>
        <w:t>- 31/37-</w:t>
      </w:r>
    </w:p>
    <w:p>
      <w:r>
        <w:t>A/1827/2019 qui était antérieure à l’agression, avait interféré de façon négative avec l’évolution de l’ESPT. Elle n’était pas une séquelle de l’accident et n’entraînait pas d’incapacité de travail. L’intimée est d’avis que le rapport d’expertise du Dr O______ a pleine valeur probante. A la lecture de l’ensemble des pièces versées à la procédure, la chambre de céans constate cependant que les conclusions du Dr O______ ne sont pas convaincantes, et ce pour les raisons qui suivent. S’agissant de l’existence d’un ESPT en lien de causalité naturelle avec l’agression subie le 9 février 2011, l’ensemble des médecins ayant examiné le recourant ont effectivement abouti à ce diagnostic. En revanche, s’agissant du trouble de la personnalité présenté par le recourant, force est de relever que le diagnostic retenu par le Dr O______, soit un trouble de la personnalité narcissique avec composante dyssociale marquée s’exprimant sur un mode passif-agressif (F60.2), diffère non seulement de celui posé par le Dr K______, à savoir un diagnostic différentiel : modification gênante de la personnalité (F61.1) versus modification durable de la personnalité après une expérience de catastrophe (F62.0 ; rapport du 28 mai 2014), mais également de celui retenu par le Dr I______, soit un trouble mixte de la personnalité (F61.0 ; rapport du 12 mai 2019). Par ailleurs, l’expert a estimé avoir suffisamment d’éléments à disposition pour considérer que le trouble de la personnalité avait commencé dans l’enfance ou l’adolescence dès lors notamment que le recourant avait eu de grandes difficultés à s’insérer de façon constructive dans la société ; il avait eu un parcours de vie erratique ; au moment de l’agression, il était dans une situation de mauvaise insertion sociale, de précarité, et venait de vivre une rupture amoureuse (rapport d’expertise p. 57). Or, selon le Dr K______, la réponse à la question de savoir si le mode de fonctionnement du recourant est en lien avec le traumatisme ou s’il s’agit d’un état pré-morbide se situe probablement entre les deux : si l’histoire de vie mettait en évidence de nombreuses ruptures sur le plan familial, professionnel, affectif, l’agression, renforcée par les difficultés secondaires à affronter, avait fait se développer un fond persécutoire, de méfiance, avec une certaine rigidité sur le plan comportemental ainsi qu’un positionnement en tant que victime revendicatrice, ce qui était mal perçu (rapport du 28 mai 2014). Par ailleurs, on peine à comprendre de quelle manière le recourant a pu participer à une opération de maintien de la paix au Liban en 2001, s’il présentait effectivement, comme l’a retenu le Dr O______, un trouble de la personnalité narcissique avec composante dyssociale marquée s’exprimant sur un mode passif-agressif.</w:t>
      </w:r>
    </w:p>
    <w:p>
      <w:r>
        <w:t>- 32/37-</w:t>
      </w:r>
    </w:p>
    <w:p>
      <w:r>
        <w:t>A/1827/2019 Qui plus est, il apparaît, à la lecture des rapports établis avant la mise en œuvre de l’orientation professionnelle par l’OAI (dès fin avril 2013), qu’aucun trouble de la personnalité n’a été constaté par les psychiatres ayant examiné le recourant, que ce soit le psychiatre traitant ou le Dr K______. Ce dernier a relevé ainsi à plusieurs reprises que ni l’histoire personnelle, ni l’examen objectif ne suggéraient un tel trouble (rapports des 22 juin 2011, 29 février 2012 et 20 mars 2013). Par ailleurs, il résulte des constats effectués par ce médecin que jusqu’en mars 2013 à tout le moins, le recourant était ouvert, souriant, et particulièrement collaborant, avec un contact facile, un discours clair, cohérent et bien ancré dans la réalité (cf. rapports précités). Par contre, le 14 mai 2014, le Dr K______ a relevé que le contact avec le recourant était difficile, avec une personne visiblement sur la défensive, disant d’emblée que le médecin ne pouvait pas le comprendre (rapport du 28 mai 2014). Le Dr O______ a, quant à lui, fait état des très importantes difficultés qu’il a rencontrées à établir avec le recourant un rapport de collaboration ; en particulier, ce dernier paraissait dispersé et désorganisé ; il fallait beaucoup de patience pour travailler avec lui, ses communications étaient constamment porteuses d’une hostilité massive ; il créait un climat de confusion et rompait constamment le fil de l’interaction (rapport d’expertise du 9 décembre 2016). Vu les contrastes importants existant dans la description du comportement du recourant, tel que constaté par le Dr K______ jusqu’en mars 2013 d’une part, et celui relevé par la suite par les Drs K______ et O______ d’autre part, se pose la question de savoir si le recourant n’a pas présenté, comme l’a diagnostiqué le Dr K______, une modification de sa personnalité suite à l’agression (rapport du 28 mai 2014). Or, le fait que le Dr O______ n’ait pas relevé dans son expertise les constatations objectives faites par le Dr K______ lorsque le recourant était ouvert, souriant et particulièrement collaborant, ne peut qu’interpeller la chambre de céans. Par ailleurs, selon l’avis du Dr I______, le trouble de la personnalité présenté par le recourant serait péjoré par l’ESPT (rapport du 12 mai 2019), alors que le Dr O______ a considéré qu’il n’y avait pas eu d’aggravation du trouble de la personnalité causée par l’agression (rapport d’expertise p. 66), ni une péjoration de ce trouble du fait de l’existence de l’ESPT (rapport d’expertise p. 61). Enfin, s’agissant de l’appréciation de la capacité de travail du recourant, l’expertise du Dr O______ ne contient pas suffisamment de développements pour trancher le cas à la lumière des indicateurs applicables aux troubles psychiques. Notamment, elle n’évalue par les ressources personnelles du recourant au regard d'éventuelles limitations des niveaux d'activité dans les domaines comparables de la vie (cf. ATF 141 V 281 consid. 4.4.1).</w:t>
      </w:r>
    </w:p>
    <w:p>
      <w:r>
        <w:t>- 33/37-</w:t>
      </w:r>
    </w:p>
    <w:p>
      <w:r>
        <w:t>A/1827/2019 Vu les divergences importantes existant entre les avis médicaux précités et l’absence d’expertise remplissant les critères jurisprudentiels, la chambre de céans considère qu’une expertise judiciaire est nécessaire. L’expertise judiciaire sera confiée au Docteur W______, spécialiste FMH en psychiatrie et psychothérapie, à Chêne-Bourg. Selon la requête du recourant, une question supplémentaire sera ajoutée à la mission d’expertise (question 2.h.6).</w:t>
      </w:r>
    </w:p>
    <w:p>
      <w:r>
        <w:t>***</w:t>
      </w:r>
    </w:p>
    <w:p>
      <w:r>
        <w:t>- 34/37-</w:t>
      </w:r>
    </w:p>
    <w:p>
      <w:r>
        <w:t>A/1827/2019 PAR CES MOTIFS, LA CHAMBRE DES ASSURANCES SOCIALES : Statuant préparatoirement</w:t>
      </w:r>
    </w:p>
    <w:p>
      <w:r>
        <w:t>1. Ordonne une expertise psychiatrique. La confie au Docteur W______, spécialiste FMH en psychiatrie et psychothérapie, à Chêne-Bourg. 2. Dit que la mission d’expertise sera la suivante : a. Prendre connaissance du dossier de la cause. b. Si nécessaire, prendre tous renseignements auprès des médecins ayant traité M. A______. c. Examiner M. A______. d. Etablir un rapport détaillé et répondre aux questions suivantes: e. Quelle est l’anamnèse ? f. Quels sont les diagnostics ? g. Quelles sont les limitations fonctionnelles en relation avec chaque diagnostic ? Depuis quand sont-elles présentes? h.1 Les atteintes à la santé constatées sont-elles en relation de causalité naturelle avec l’accident du 9 février 2011 ? Plus précisément, le lien de causalité est-il seulement possible (probabilité de moins de 50 % due à l’accident), probable (probabilité de plus de 50 % due à l’accident) ou certain (probabilité de 100 % due à l’accident) ? h.2 Veuillez motiver le lien de causalité naturelle pour chaque diagnostic/limitation fonctionnelle retenus. h.3 A partir de quel moment le statu quo a-t-il été atteint (moment où l’état de santé de la personne expertisée est similaire à celui qui existait immédiatement avant l’accident) ? h.4 M. A______ présentait-il une atteinte à la santé avant l’agression du 9 février 2011? Si oui, l’agression a-t-elle, au degré de vraisemblance prépondérante, provoqué une aggravation de l’état antérieur? Si oui, s’agit-il, au degré de la vraisemblance prépondérante, d’une aggravation passagère ou durable?</w:t>
      </w:r>
    </w:p>
    <w:p>
      <w:r>
        <w:t>- 35/37-</w:t>
      </w:r>
    </w:p>
    <w:p>
      <w:r>
        <w:t>A/1827/2019 En cas d’aggravation passagère, quand le statu quo ante ou le statu quo sine a- t-il été atteint? h.5 Quelles sont les interactions entre les diagnostics posés ? h.6 Les difficultés de M. A______, qui ont été constatées lors des stages professionnels mis en place par l’AI (ponctualité, respect des règles de l’atelier et application des consignes, conflits professionnels), peuvent-elles être mises en lien avec les atteintes à la santé causées par l’agression ? i.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 j.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Dans l’affirmative, considérez-vous que cela suffise à exclure une atteinte à la santé significative ? k.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l. De quelles ressources mobilisables M. A______ dispose-t-il ? m. Quel est le contexte social ? M. A______ peut-il compter sur le soutien de ses proches ? n. Pour le cas où il y aurait refus ou mauvaise acceptation d’une thérapie recommandée et accessible : cette attitude doit-elle être attribuée à une incapacité de M. A______ à reconnaître sa maladie ? o. Dans l’ensemble, le comportement de M. A______ vous semble-t-il cohérent ? Pourquoi ?</w:t>
      </w:r>
    </w:p>
    <w:p>
      <w:r>
        <w:t>- 36/37-</w:t>
      </w:r>
    </w:p>
    <w:p>
      <w:r>
        <w:t>A/1827/2019 p.1 Quels ont été les traitements entrepris et avec quel succès (évolution et résultats des thérapies) ? p.2 M. A______ a-t-il fait preuve de résistance à l’égard des traitements proposés ? La compliance est-elle bonne ? p.3 Dans quelle mesure les traitements ont-ils été mis à profit ou négligés ? q. Les limitations du niveau d’activité sont-elles uniformes dans tous les domaines (professionnel mais aussi personnel) ? Quel est le niveau d’activité sociale et comment a-t-il évolué depuis la survenance de l’atteinte à la santé ? r.1 Quelle est la capacité de travail de M. A______, en pourcent, dans son activité habituelle, compte tenu des seules atteintes en rapport de causalité (au moins probable – probabilité de plus de 50%) avec l’agression et comment cette capacité de travail a-t-elle évolué depuis l’agression? r.2 Si la capacité de travail est seulement partielle, quelles sont les limitations fonctionnelles qui entrent en ligne de compte ? Depuis quelle date sont-elles présentes? r.3 Quelle est la capacité de travail de M. A______, en pourcent, dans une activité adaptée, compte tenu des seules atteintes en rapport de causalité (au moins probable – probabilité de plus de 50%) avec l’agression ? Depuis quand ? Quel est le domaine d’activité adapté ? r.4 Si cette capacité de travail est seulement partielle, quelles sont les limitations fonctionnelles qui entrent en ligne de compte ? Depuis quelle date sont-elles présentes? r.5 Dire s'il y a une diminution de rendement et la chiffrer. s. Dater la survenance de l’incapacité de travail durable, le cas échéant, indiquer l'évolution de son taux et décrire son évolution. t. Évaluer la possibilité d'améliorer la capacité de travail par des mesures médicales. Indiquer quelles seraient les propositions thérapeutiques et leur influence sur la capacité de travail. u. Formuler un pronostic global. v. L’atteinte à la santé entraîne-t-elle une atteinte à l’intégrité définitive ? Si oui, quel est le degré de l’indemnité pour atteinte à l’intégrité selon l’annexe 3 de l’OLAA et les tables de la SUVA concernant les atteintes à l’intégrité selon la LAA (https://www.suva.ch/fr-ch/accident/accident/medecine-des- assurances#uxlibrary-material=4ab122559dc26c42b949ec148704f83a&amp;uxlibr ary-material-filter=materialGroup:all) ?</w:t>
      </w:r>
    </w:p>
    <w:p>
      <w:r>
        <w:t>- 37/37-</w:t>
      </w:r>
    </w:p>
    <w:p>
      <w:r>
        <w:t>A/1827/2019 Une détérioration prévisible de l’intégrité doit être indiquée et prise en compte dans l’estimation. w.1 Êtes-vous d’accord avec l’avis du Dr O______ du 9 décembre 2016 ? En particulier avec les diagnostics posés et l’estimation de la capacité de travail de M. A______ ? Si non, pourquoi ? w.2 Êtes-vous d’accord avec l’avis du Dr K______ du 28 mai 2014 ? En particulier avec les diagnostics posés ? w.3 Êtes-vous d’accord avec l’avis du Dr I______ du 12 mai 2019 ? En particulier avec les diagnostics posés et l’estimation de la capacité de travail de M. A______ ? Si non, pourquoi ? x. Faire toute remarque utile. 3. Invite l’expert à déposer à sa meilleure convenance un rapport en trois exemplaires à la chambre de céans ; 4. Réserve le fond ainsi que le sort des frais jusqu’à droit jugé au fond.</w:t>
      </w:r>
    </w:p>
    <w:p>
      <w:r>
        <w:t>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