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ATAS/25/2015 vom 19. Januar 2015</w:t>
      </w:r>
    </w:p>
    <w:p>
      <w:r>
        <w:t>GE Cour de justice, 2015-01-19, FR</w:t>
      </w:r>
    </w:p>
    <w:p>
      <w:r>
        <w:rPr>
          <w:b/>
        </w:rPr>
        <w:t xml:space="preserve">Quelle: </w:t>
      </w:r>
      <w:r>
        <w:t>https://mcp.opencaselaw.ch/entscheid/ge_gerichte_ATAS_25_2015</w:t>
      </w:r>
    </w:p>
    <w:p>
      <w:r>
        <w:t>FR: GE_GERICHTE ATAS/25/2015 du 19 janvier 2015</w:t>
      </w:r>
    </w:p>
    <w:p>
      <w:r>
        <w:t>IT: GE_GERICHTE ATAS/25/2015 del 19 gennaio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w:t>
      </w:r>
    </w:p>
    <w:p>
      <w:r>
        <w:t>A/1830/2014 4/6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7 octobre 1994, d’autre part le 28 mai 2014, date à laquelle le jugement de divorce est devenu exécutoire.</w:t>
      </w:r>
    </w:p>
    <w:p>
      <w:r>
        <w:rPr>
          <w:b/>
        </w:rPr>
        <w:t>E. 5</w:t>
      </w:r>
    </w:p>
    <w:p>
      <w:r>
        <w:t>Selon les documents produits, la prestation acquise pendant le mariage par le demandeur est de CHF 125'726,60, tandis que celle acquise par la demanderesse est de CHF 95'061,20, les intérêts ayant déjà été calculés par les institutions de prévoyance défenderesses. Ainsi le demandeur doit à son ex-épouse le montant de CHF 62'863,30 (CHF 125'726,60 : 2) et celle-ci doit à celui-là le montant de CHF 47'530,60 (CHF 95'061,20 : 2), de sorte que c’est le demandeur qui doit à la demanderesse le montant de CHF 15'332,70.</w:t>
      </w:r>
    </w:p>
    <w:p>
      <w:r>
        <w:rPr>
          <w:b/>
        </w:rPr>
        <w:t>E. 6</w:t>
      </w:r>
    </w:p>
    <w:p>
      <w:r>
        <w:t>Il n'y a pas lieu d'instruire plus avant les faits suite aux dernières observations du demandeur, dès lors que les informations figurant au dossier sont suffisantes pour établir les faits pertinents et nécessaires pour le calcul du partage des prestations de prévoyance professionnelle acquises pendant le mariage. Le décompte effectué par COMPLAN établit clairement le montant de la prestation de libre passage acquise par la demanderesse durant le mariage, en tenant compte du montant de la prestation de sortie au moment du mariage. Les demandeurs ont des versions concordantes des faits s'agissant de la période pendant laquelle ils ont chacun travaillé durant le mariage. Il en ressort que le demandeur a travaillé un peu plus longtemps que la demanderesse, ce qui peut expliquer la différence des montants à partager. Ces montants dépendent également d'autres facteurs, comme de leur revenu respectif et des conditions de leur prévoyance professionnelle, étant rappelé que la loi sur la prévoyance professionnelle prescrit des prestations minimales et</w:t>
      </w:r>
    </w:p>
    <w:p>
      <w:r>
        <w:t>A/1830/2014 5/6 que les entreprises optent souvent pour des solutions plus généreuses. Il n'est pas contesté que la demanderesse a travaillé avant le mariage, mais les avoirs de prévoyance ainsi constitués n'ont pas à être partagés avec le demandeur.</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A/1830/2014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