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ATAS/259/2020 vom 2. April 2020</w:t>
      </w:r>
    </w:p>
    <w:p>
      <w:r>
        <w:t>GE Cour de justice, 2020-04-02, FR</w:t>
      </w:r>
    </w:p>
    <w:p>
      <w:r>
        <w:rPr>
          <w:b/>
        </w:rPr>
        <w:t xml:space="preserve">Quelle: </w:t>
      </w:r>
      <w:r>
        <w:t>https://mcp.opencaselaw.ch/entscheid/ge_gerichte_ATAS_259_2020</w:t>
      </w:r>
    </w:p>
    <w:p>
      <w:r>
        <w:t>FR: GE_GERICHTE ATAS/259/2020 du 2 avril 2020</w:t>
      </w:r>
    </w:p>
    <w:p>
      <w:r>
        <w:t>IT: GE_GERICHTE ATAS/259/2020 del 2 aprile 2020</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 recours a été interjeté dans les forme et délai prévus par la loi (art. 56ss LPGA).</w:t>
      </w:r>
    </w:p>
    <w:p>
      <w:r>
        <w:rPr>
          <w:b/>
        </w:rPr>
        <w:t>E. 3</w:t>
      </w:r>
    </w:p>
    <w:p>
      <w:r>
        <w:t>Le litige se limite à la question de savoir si c’est à juste titre que l’intimé a déclaré l’opposition formée le 23 avril 2019 contre sa décision du 14 février 2019 irrecevable pour cause de tardiveté.</w:t>
      </w:r>
    </w:p>
    <w:p>
      <w:r>
        <w:rPr>
          <w:b/>
        </w:rPr>
        <w:t>E. 4</w:t>
      </w:r>
    </w:p>
    <w:p>
      <w:r>
        <w:t>En vertu de l'art. 52 LPGA, les décisions peuvent être attaquées dans les trente jours par voie d'opposition auprès de l'assureur qui les a rendues. Les délais en jours fixés par la loi commencent à courir le lendemain de la communication (art. 38 al. 1 LPGA). Les écrits doivent être remis au plus tard le dernier jour du délai à l'assureur ou, à son adresse, à la poste suisse ou à une représentation diplomatique ou consulaire suisse (art. 39 al. 1 LPGA).</w:t>
      </w:r>
    </w:p>
    <w:p>
      <w:r>
        <w:rPr>
          <w:b/>
        </w:rPr>
        <w:t>E. 5</w:t>
      </w:r>
    </w:p>
    <w:p>
      <w:r>
        <w:t>En l'espèce, il est établi que l’opposition contre la décision du 14 février 2019, a été formée le 23 avril 2019, soit plus de deux mois après. Il est vrai que l’intimé n’apporte pas la preuve de la date à laquelle la décision en question est parvenue à son destinataire et qu’il serait bien en peine de le faire, la décision ayant été expédiée par courrier B, c’est-à-dire sous pli simple. Dans le domaine des assurances sociales, il n’existe aucune disposition légale ou réglementaire obligeant l’administration à notifier ses décisions sous pli recommandé, de sorte qu’elles peuvent être envoyées par courrier ordinaire. Il convient de souligner que la preuve de la notification d’une décision administrative et de la date à laquelle cette notification a eu lieu incombe en principe à l’administration, qui entend en tirer une conséquence juridique et qui supporte les conséquences de l’absence de preuve.</w:t>
      </w:r>
    </w:p>
    <w:p>
      <w:r>
        <w:t>A/2722/2019 - 4/5 - En ce qui concerne plus particulièrement la notification d'une décision ou d'une communication de l'administration, elle doit au moins être établie au degré de la vraisemblance prépondérante requis en matière d'assurance sociale (ATF 121 V 5 consid. 3b p. 6).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(arrêt 8C_412/2011 du 30 avril 2012 consid. 3.2 ; ATF 129 I 8 consid. 2.2 p. 10; 124 V 400 consid. 2a p. 402 et les références). Cependant, en l’occurrence, le recourant n’allègue aucune date de réception de la décision contestée. Surtout, il ne prétend pas qu’il aurait reçu celle-ci postérieurement au 15 mars 2019 - date qui aurait permis de considérer comme respecté le délai d’opposition, compte tenu de la suspension des délais de Pâques. Or, il paraît fort peu probable qu’un courrier expédié le 19 février 2019, même par voie non prioritaire, ne soit parvenu à son destinataire qu’un mois plus tard. Comme déjà dit, le recourant ne le soutient d’ailleurs pas. Il se contente d’alléguer que l’avocate consultée par sa fille aurait évoqué un délai échéant entre le 15 et le 23 avril 2019 – échéance pour le moins vague. Qui plus est, sa fille reconnaît avoir attendu avant d’envoyer l’opposition. En l'occurrence, la Cour de céans considère dès lors la tardiveté de l’opposition comme établie au degré de la vraisemblance prépondérante. C’est dès lors à juste titre que l’intimé a déclaré celle-ci irrecevable. Le recours est donc rejeté.</w:t>
      </w:r>
    </w:p>
    <w:p>
      <w:r>
        <w:t>A/2722/2019 - 5/5 -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