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ATAS/259/2018 vom 21. März 2018</w:t>
      </w:r>
    </w:p>
    <w:p>
      <w:r>
        <w:t>GE Cour de justice, 2018-03-21, FR</w:t>
      </w:r>
    </w:p>
    <w:p>
      <w:r>
        <w:rPr>
          <w:b/>
        </w:rPr>
        <w:t xml:space="preserve">Quelle: </w:t>
      </w:r>
      <w:r>
        <w:t>https://mcp.opencaselaw.ch/entscheid/ge_gerichte_ATAS_259_2018</w:t>
      </w:r>
    </w:p>
    <w:p>
      <w:r>
        <w:t>FR: GE_GERICHTE ATAS/259/2018 du 21 mars 2018</w:t>
      </w:r>
    </w:p>
    <w:p>
      <w:r>
        <w:t>IT: GE_GERICHTE ATAS/259/2018 del 21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le recours est recevable (art. 56 et 60 de la LPGA; art. 89B de la loi sur la procédure administrative du 12 septembre 1985 [(LPA-GE - E 5 10)].</w:t>
      </w:r>
    </w:p>
    <w:p>
      <w:r>
        <w:rPr>
          <w:b/>
        </w:rPr>
        <w:t>E. 4</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w:t>
      </w:r>
    </w:p>
    <w:p>
      <w:r>
        <w:t>A/549/2018 - 14/20 -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rPr>
          <w:b/>
        </w:rPr>
        <w:t>E. 5</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w:t>
      </w:r>
    </w:p>
    <w:p>
      <w:r>
        <w:t>A/549/2018 - 15/20 -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6</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A/549/2018 - 16/20 -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RS 831.201)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rPr>
          <w:b/>
        </w:rPr>
        <w:t>E. 7</w:t>
      </w:r>
    </w:p>
    <w:p>
      <w:r>
        <w:t>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w:t>
      </w:r>
    </w:p>
    <w:p>
      <w:r>
        <w:t>A/549/2018 - 17/20 -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w:t>
      </w:r>
    </w:p>
    <w:p>
      <w:r>
        <w:t>A/549/2018 - 18/20 - manifestement erronée une décision initiale (arrêt du Tribunal fédéral des assurances I 512/05 du 3 mai 2006 consid. 4.2).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w:t>
      </w:r>
    </w:p>
    <w:p>
      <w:r>
        <w:rPr>
          <w:b/>
        </w:rPr>
        <w:t>E. 8</w:t>
      </w:r>
    </w:p>
    <w:p>
      <w:r>
        <w:t>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w:t>
      </w:r>
    </w:p>
    <w:p>
      <w:r>
        <w:rPr>
          <w:b/>
        </w:rPr>
        <w:t>E. 9</w:t>
      </w:r>
    </w:p>
    <w:p>
      <w:r>
        <w:t>En l'espèce, il y a lieu de constater que la décision du 4 octobre 2004, par laquelle l’OAI a mis la recourante au bénéfice d’un trois quarts de rente dès le 1er janvier 2004, en retenant une incapacité totale de travailler dans toute activité, n'apparaît pas manifestement erronée. Tel aurait éventuellement pu être le cas, si la question de la capacité résiduelle de travail de la recourante n’avait pas été examinée du tout par l'OAI et si cette question n’avait pas été tranchée par un médecin. En l'occurrence, le Dr B______ a certes répondu avec un point d'interrogation à la question de savoir si la recourante avait une capacité de travail résiduelle dans son rapport du 1er avril 2004, mais cela ne suffit pas à retenir qu'il ne s'est pas prononcé à ce sujet, dès lors qu'à la fin du même rapport, il a répondu qu'un retour au travail n'était pas envisageable à la question de savoir si on pouvait envisager un retour au travail ultérieurement dans le même métier « ou dans un autre ». L'OAI avait ainsi un motif suffisant de considérer que la capacité de travail de la recourante était alors nulle dans toute activité dans sa décision du 4 octobre 2004. La décision du 15 janvier 2018, qui prend en compte une capacité résiduelle de travail de la recourante de 65%, repose sur une nouvelle appréciation de la situation, fondée sur le rapport du SMR du 26 juillet 2010 après un examen plus approfondi des faits, ce qui n'ouvre pas la voie de la reconsidération au sens de l'art. 53 al. 2 LPGA. En revanche, c'est à juste titre que l'OAI a retenu qu'il avait un motif de révision au sens de l'art. 17 LPGA, car le statut de l'assurée a changé après la décision du 1er janvier 2004, à la suite de sa séparation d'avec son mari en 2009. Cela n'autorisait toutefois pas l'OAI à prendre en compte une capacité de travail</w:t>
      </w:r>
    </w:p>
    <w:p>
      <w:r>
        <w:t>A/549/2018 - 19/20 - résiduelle de 65% dans son nouveau calcul d'invalidité, puisque l'état de santé de la recourante ne s'était pas modifié dans le sens d'une amélioration depuis la décision du 1er janvier 2004, étant relevé que le SMR a spécifié dans son rapport du 26 juillet 2010 que dans une activité adaptée, la recourante pouvait travailler à 65% depuis 2002. Il y a donc lieu d'admettre que, selon toute vraisemblance, la recourante l'emportera dans la cause principale et il convient, dans ces circonstances, de restituer l'effet suspensif au recours.</w:t>
      </w:r>
    </w:p>
    <w:p>
      <w:r>
        <w:t>A/549/2018 - 20/20 -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