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ATAS/258/2026 vom 24. März 2026</w:t>
      </w:r>
    </w:p>
    <w:p>
      <w:r>
        <w:t>GE Cour de justice, 2026-03-24, FR</w:t>
      </w:r>
    </w:p>
    <w:p>
      <w:r>
        <w:rPr>
          <w:b/>
        </w:rPr>
        <w:t xml:space="preserve">Quelle: </w:t>
      </w:r>
      <w:r>
        <w:t>https://mcp.opencaselaw.ch/entscheid/ge_gerichte_ATAS_258_2026</w:t>
      </w:r>
    </w:p>
    <w:p>
      <w:r>
        <w:t>FR: GE_GERICHTE ATAS/258/2026 du 24 mars 2026</w:t>
      </w:r>
    </w:p>
    <w:p>
      <w:r>
        <w:t>IT: GE_GERICHTE ATAS/258/2026 del 24 marzo 2026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juin 1999 [RPCC-AVS/AI - J 4 25.03]) ; Qu’en vertu de l’art. l'art. 3 al. 3 de l'ordonnance sur la partie générale du droit des assurances sociales du 11 septembre 2002 (OPGA - RS 830.11) – auquel correspond l’art. 14 al. 4 RPCC-AVS/AI –, l'assureur décide dans sa décision de renoncer à la restitution lorsqu'il est manifeste que les conditions d'une remise sont réunies ; Que par ailleurs, conformément à l'art. 59 LPGA, quiconque est touché par la décision ou la décision sur opposition et a un intérêt digne d’être protégé à ce qu’elle soit annulée ou modifiée a qualité pour recourir ; Que la notion d’intérêt digne de protection de l’art. 59 LPGA est la même que celle prévue dans la procédure fédérale de recours (ATF 130 V 388 consid. 2.2; ATAS/990/2018 du 25 octobre 2018 consid. 3 ; Jean MÉTRAL, in Commentaire romand, LPGA, 2ème éd., 2025, n. 8 ad art. 59 LPGA) ; l'intérêt digne de protection – qui peut être factuel ou juridique – consiste ainsi en l'utilité pratique que l'admission du recours apporterait au recourant ou, en d'autres termes, dans le fait d'éviter – maintenant ou dans le futur – un préjudice de nature économique, idéale, matérielle ou autre que la décision attaquée lui occasionnerait (ATF 147 I 136 consid. 1.3 ; 147 I 478 consid. 2.2 ; 138 II 162 consid. 2.1.2 ; 130 V 196 consid. 3 ; ATAS/821/2023 du 24 octobre 2023 consid. 5.2 ; ATAS/990/2018 précité consid. 3 ; Jean MÉTRAL, op. cit., n. 11 ad art. 59 LPGA) ; Qu’en l’espèce, par la remise de l’obligation de restituer la somme de CHF 916.- accordée au recourant dans sa décision sur opposition rendue le 30 octobre 2025, les conditions cumulatives de la bonne foi et de la situation difficile étant manifestement réunies, l’intimé renonce à exiger le remboursement de ladite somme, ce de manière à le lier ; Que, même dans l’hypothèse où le recourant voulait contester le bien-fondé de l’obligation de restituer la somme de CHF 916.-, cette remise ne péjore pas sa situation factuelle et juridique par rapport à une annulation de la décision de restitution en tant que telle, puisqu’en définitive, l’intéressé ne doit aucun montant au SPC pour la période en cause – du 1er juillet au 31 août 2025 – (cf. notamment, à ce sujet, arrêt du Tribunal</w:t>
      </w:r>
    </w:p>
    <w:p>
      <w:r>
        <w:t>A/3981/2025 - 4/4 - fédéral 9C_53/2014 du 20 août 2014 ; Sylvie PÉTREMAND, in Commentaire romand, LPGA, 2ème éd., 2025, n. 30 ad art. 25 LPGA) ; Que, partant, le recourant ne dispose pas d’un intérêt digne de protection, au sens de l’art. 59 LPGA, à l’annulation de la décision sur opposition du 30 octobre 2025 querellée ; Que fait défaut même un intérêt – actuel, de droit ou de fait – du recourant pour agir en constatation – immédiate – d’une absence d’obligation de restituer la somme de CHF 916.-, dès lors notamment qu’aucune incertitude ne plane sur les relations juridiques des parties à ce sujet (cf. ATF 142 V 2 consid. 1.1 ; ATAS/821/2023 précité consid. 5.2) ; Qu’il convient donc de déclarer le recours irrecevable, faute d’intérêt pour recourir ; Que la procédure est gratuite (art. 89H al. 1 LPA et vu l'art. 61 let. fbis LPGA).</w:t>
      </w:r>
    </w:p>
    <w:p>
      <w:r>
        <w:t>PAR CES MOTIFS, LA CHAMBRE DES ASSURANCES SOCIALES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