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ATAS/258/2016 vom 31. März 2016</w:t>
      </w:r>
    </w:p>
    <w:p>
      <w:r>
        <w:t>GE Cour de justice, 2016-03-31, FR</w:t>
      </w:r>
    </w:p>
    <w:p>
      <w:r>
        <w:rPr>
          <w:b/>
        </w:rPr>
        <w:t xml:space="preserve">Quelle: </w:t>
      </w:r>
      <w:r>
        <w:t>https://mcp.opencaselaw.ch/entscheid/ge_gerichte_ATAS_258_2016</w:t>
      </w:r>
    </w:p>
    <w:p>
      <w:r>
        <w:t>FR: GE_GERICHTE ATAS/258/2016 du 31 mars 2016</w:t>
      </w:r>
    </w:p>
    <w:p>
      <w:r>
        <w:t>IT: GE_GERICHTE ATAS/258/2016 del 31 marzo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A teneur de l'art. 1 al. 1 LAI, les dispositions de la LPGA s'appliquent à l'assurance- invalidité, à moins que la loi n'y déroge expressément.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w:t>
      </w:r>
    </w:p>
    <w:p>
      <w:r>
        <w:t>A/1788/2015 - 8/16 -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w:t>
      </w:r>
    </w:p>
    <w:p>
      <w:r>
        <w:rPr>
          <w:b/>
        </w:rPr>
        <w:t>E. 2</w:t>
      </w:r>
    </w:p>
    <w:p>
      <w:r>
        <w:t>Le délai de recours est de 30 jours. Interjeté dans la forme et le délai prévus par la loi, le recours est recevable (art. 60 al. 1 et 56 à 61 LPGA).</w:t>
      </w:r>
    </w:p>
    <w:p>
      <w:r>
        <w:rPr>
          <w:b/>
        </w:rPr>
        <w:t>E. 3</w:t>
      </w:r>
    </w:p>
    <w:p>
      <w:r>
        <w:t>Le litige porte sur la suppression du trois-quarts de rente d'invalidité versé à la recourante sur la base des dispositions finales relatives à la 6ème révision de la LAI.</w:t>
      </w:r>
    </w:p>
    <w:p>
      <w:r>
        <w:rPr>
          <w:b/>
        </w:rPr>
        <w:t>E. 4</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depuis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rPr>
          <w:b/>
        </w:rPr>
        <w:t>E. 5</w:t>
      </w:r>
    </w:p>
    <w:p>
      <w:r>
        <w:t>Selon la let. a al. 1 des dispositions finales de la LAI concernant la modification du 18 mars 2011 (6ème révision, entrée en vigueur le 1er janvier 2012), les rentes octroyées en raison d'un syndrome sans pathogenèse ni étiologie claires et sans constat de déficit organique sont réexaminées dans un délai de trois ans à compter de l'entrée en vigueur de la modification. Si les conditions visées à l'art. 7 LPGA ne sont pas remplies, la rente sera réduite ou supprimée, même si les conditions de l'art. 17 al. 1 LPGA (concernant la révision</w:t>
      </w:r>
    </w:p>
    <w:p>
      <w:r>
        <w:t>A/1788/2015 - 9/16 - en cas de modification notable du taux d’invalidité) ne sont pas remplies (let. a al. 1 des dispositions finales de la LAI concernant la modification du 18 mars 2011). L'al. 4 de la let. a précise que l'al. 1 ne s'applique pas aux personnes qui ont atteint 55 ans au moment de l'entrée en vigueur de la modification, ou qui touchent une rente de l'assurance-invalidité depuis plus de quinze ans au moment de l'ouverture de la procédure de réexamen.</w:t>
      </w:r>
    </w:p>
    <w:p>
      <w:r>
        <w:rPr>
          <w:b/>
        </w:rPr>
        <w:t>E. 6</w:t>
      </w:r>
    </w:p>
    <w:p>
      <w:r>
        <w:t>Le Tribunal fédéral a eu l'occasion de préciser les conditions auxquelles un réexamen du droit à la rente sur la base de la let. a al. 1 des dispositions finales pouvait avoir lieu. Ainsi, en principe, sont seules susceptibles d'être réexaminées les rentes allouées qui ne tenaient pas déjà compte de la jurisprudence relative au syndrome sans pathogenèse ni étiologie claires et sans constat de déficit organique (ATF 140 V 8 consid. 2.2.2). Dans ce cas, il n'est pas nécessaire qu'une modification notable de l'état de santé au sens de l'art. 17 LPGA soit intervenue. En d'autres termes, la rente ne peut être réduite ou supprimée que si elle a été octroyée en raison d'un syndrome sans pathogenèse ni étiologie claires et sans constat de déficit organique et que le tableau clinique est toujours de cet ordre à la date du réexamen (ATF 139 V 547 consid. 10.1.2). Néanmoins, lorsqu'une rente en cours a été allouée aussi bien en raison de plaintes peu claires que de plaintes explicables, rien ne s'oppose à ce que l'on applique la let. a, al. 1, des dispositions finales en ce qui concerne les premières. En effet, ces rentiers ne peuvent pas être avantagés par rapport à ceux qui touchent une rente seulement pour des troubles dont la pathogenèse et l’étiologie ne sont pas claires. De même, ils ne peuvent pas être privilégiés par rapport aux assurés qui déposent une nouvelle demande de prestation à la fois en raison de troubles explicables et de troubles que l’on ne peut pas objectiver (ATF 140 V 197 consid. 6).</w:t>
      </w:r>
    </w:p>
    <w:p>
      <w:r>
        <w:rPr>
          <w:b/>
        </w:rPr>
        <w:t>E. 7</w:t>
      </w:r>
    </w:p>
    <w:p>
      <w:r>
        <w:t>a. Les principes jurisprudentiels développés en matière de troubles somatoformes douloureux sont également applicables à la fibromyalgie et à la neurasthénie (ATF 132 V 65 consid. 4.1 ; arrêt du Tribunal fédéral I 70/07 du 14 avril 2008).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w:t>
      </w:r>
    </w:p>
    <w:p>
      <w:r>
        <w:t>A/1788/2015 - 10/16 -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une perte d'intégration sociale dans toutes les manifestations de la vie, un état psychique cristallisé, sans évolution possible au plan thérapeutique, l'échec de traitements ambulatoires ou stationnaires conformes aux règles de l'art, cela en dépit de l'attitude coopérative de la personne assurée (ATF 132 V 65 consid. 4.2). b.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 Si dans cet arrêt, le Tribunal fédéral a notamment abandonné la présomption du caractère surmontable d'un syndrome douloureux somatoforme,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(voir le consid. 2.2. de l'ATF 141 V 281).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(arrêt du Tribunal fédéral 8C_562/2014 du 29 septembre 2015 consid. 8.2; arrêts du Tribunal fédéral 9C_899/2014 et 9C_173/2015 du 29 juin 2015).</w:t>
      </w:r>
    </w:p>
    <w:p>
      <w:r>
        <w:t>A/1788/2015 - 11/16 - d. Il convient encore de préciser que les expertises mises en œuvre selon l’ancien standard de procédure ne perdent pas en soi valeur de preuve : il convient de procéder à un examen global du cas particulier avec ses spécificités et les griefs invoqués et d’examiner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suffire (ATF 141 V 281, consid. 8).</w:t>
      </w:r>
    </w:p>
    <w:p>
      <w:r>
        <w:rPr>
          <w:b/>
        </w:rPr>
        <w:t>E. 8</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w:t>
      </w:r>
    </w:p>
    <w:p>
      <w:r>
        <w:t>A/1788/2015 - 12/16 -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En l’espèce, la chambre de céans constate qu’une rente d’invalidité a été accordée à la recourante dès août 2004 sur la base de l’expertise réalisée par le COMAI en 2002, laquelle retenait une incapacité de travail de 70 à 80% résultant d’une neurasthénie. Vu son ancienneté, cette expertise ne tenait pas compte de la jurisprudence relative aux troubles somatoformes douloureux, applicable par analogie aux cas de neurasthénie (arrêt du Tribunal fédéral I 70/07). Il résulte du dossier que la rente a été accordée en raison d’une affection sans pathogenèse ni étiologie claire, mais sans tenir compte de la jurisprudence topique. La première condition requise pour son réexamen sur la base des dispositions finales relatives à la 6ème révision de la LAI est donc remplie (ATF 140 V 8 consid. 2.2.2).</w:t>
      </w:r>
    </w:p>
    <w:p>
      <w:r>
        <w:rPr>
          <w:b/>
        </w:rPr>
        <w:t>E. 10</w:t>
      </w:r>
    </w:p>
    <w:p>
      <w:r>
        <w:t>Il convient de vérifier si l’intimé a respecté les délais fixés par la let. a des dispositions finales de la 6ème révision de la LAI. L’OAI a débuté le réexamen de la rente en mai 2012. La procédure a donc été initiée dans le délai de trois ans prévu par la loi (al. 1 de la let. a des dispositions finales). De plus, en mai 2012, cela faisait sept ans et neuf mois – soit moins de quinze ans – que la rente d’invalidité, dont le versement a débuté en août 2004, était servie. Née en 1970, l’assurée n’avait pas atteint l’âge de cinquante-cinq ans au 1er janvier 2012, date de l’entrée en vigueur de la 6ème révision de l’AI (1er volet).</w:t>
      </w:r>
    </w:p>
    <w:p>
      <w:r>
        <w:t>A/1788/2015 - 13/16 - Partant, la recourante fait bel et bien partie du cercle des personnes visées par la procédure de réexamen.</w:t>
      </w:r>
    </w:p>
    <w:p>
      <w:r>
        <w:rPr>
          <w:b/>
        </w:rPr>
        <w:t>E. 11</w:t>
      </w:r>
    </w:p>
    <w:p>
      <w:r>
        <w:t>Il sied d’examiner, sous l’angle de la nouvelle jurisprudence du Tribunal fédéral, si les atteintes sans étiologie claire dont souffre l’assurée (fibromyalgie et neurasthénie) peuvent être considérées comme surmontables. L’intimé soutient que tel est le cas, ce que l’intéressée conteste, en rétorquant que les expertises sur lesquelles il se fonde sont dénuées de valeur probante. a. À titre liminaire, on rappellera que la nouvelle jurisprudence relative aux affections psychosomatiques assimilées au trouble somatoforme douloureux s'applique aux affaires pendantes devant la Cour au moment du changement (ATF 141 V 281 ; 108 V 3). b. Sur le plan rhumatologique et neurologique, la chambre de céans constate que l’expertise de la CRR se fonde sur une anamnèse détaillée et des examens cliniques complets. Elle prend en considération les plaintes exprimées et ses conclusions, attestant d’une pleine capacité de travail dans toute activité, sont claires et motivées, aucune limitation fonctionnelle n’ayant été constatée. Partant, une pleine valeur probante peut lui être reconnue. c. Sur le plan psychiatrique, l’expertise de la Dresse O______ répond également aux réquisits jurisprudentiels relatifs à la valeur probante : elle repose sur une anamnèse détaillée et sur un examen clinique. Elle tient compte des plaintes et ses conclusions, dûment motivées, sont exemptes de contradictions. d. Les conclusions des experts sont corroborées par celles des examinateurs du SMR, aux termes desquelles la fibromyalgie et la neurasthénie sont sans répercussion sur la capacité de travail. L’assurée est considérée comme capable d’exercer à plein temps toute activité adaptée, moyennant le respect de mesures d’épargne lombaire en lien avec des troubles du rachis mineurs. e. La recourante ne met pas en évidence de contradiction ou d’omission susceptible de remettre en cause la valeur probante des expertises de la CRR et de la Dresse O______. Les rapports de ses médecins traitants sont peu motivés et ne mettent pas non plus en exergue d’élément dont les experts n’auraient pas tenu compte. La Dresse I______ allègue certes que l’expert psychiatre remet en cause un traitement de Ritaline sans raison valable. Sa critique tombe cependant à faux, car il résulte de l’expertise psychiatrique et du dernier rapport du Dr P______ que l’assurée ne souffre d’aucun déficit de l’attention. Par ailleurs, si le psychiatre consulté par l’assurée ne semble pas partager l’opinion de l’expert quant à l’absence de limitation psychique, son appréciation paraît sujette à caution puisqu’elle repose uniquement sur les plaintes de l’assurée et sur un suivi de deux mois et demi. Enfin, on ne voit pas quel argument la recourante pourrait tirer du rapport du Centre multidisciplinaire de la douleur des HUG, lequel n’atteste d’aucune incapacité de travail.</w:t>
      </w:r>
    </w:p>
    <w:p>
      <w:r>
        <w:t>A/1788/2015 - 14/16 - f. Si dans sa nouvelle jurisprudence (ATF 141 V 281), le Tribunal fédéral a abandonné la présomption du caractère surmontable du syndrome douloureux somatoforme,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En l’occurrence, les divers rapports versés au dossier font état de multiples observations allant dans le sens d’une exagération, ainsi, notamment : - selon les examinateurs du SMR, la gestuelle spontanée de l’assurée n’est pas cohérente avec les douleurs importantes dont elle se plaint, autoévaluées à 7/10 en position couchée ; l’examen clinique est normal, sous réserve d’un trouble du rachis mineur, et aucune asthénie n’est décelable ; - selon les experts de la CRR, l’assurée débute l’entretien en parlant à voix faible, l’air fatigué, puis après dix minutes, sa voix s’élève et le cours de sa parole se normalise ; son apparence est finalement perçue comme celle d’une femme souriante et pimpante ; elle déplore des céphalées, mais son discours fluctue de manière significative en fonction des interlocuteurs (elle n’en parle pas du tout pendant l’anamnèse générale réalisée en début d’expertise, puis indique que celles-ci sont quotidiennes durant son entretien avec l’expert en neurologie) ; enfin, elle déclare sortir tous les jours en été pour prendre le soleil au bord de la piscine de ses voisins ; - selon la Dresse O______, expert psychiatre, l’assurée ne manifeste pas le moindre signe d’inconfort, de souffrance ou de fatigue pendant un entretien de deux heures, malgré ses plaintes exprimées en début d’entretien, selon lesquelles « c’est la torture » lorsqu’elle doit rester assise pendant cette durée ; socialement, l’intéressée mentionne des contacts réguliers avec des amies, participe une à deux fois par semaine à des réunions de témoins de Jéhovah, utilise sa voiture deux fois par semaine pour faire les courses avec sa mère, et effectue ses tâches ménagères à son rythme ; - enfin, le Dr P______ considère qu’un suivi psychiatrique est inutile dans la mesure où la recourante l’a consulté, selon ses dires, seulement parce que « cela a du poids pour le recours (…) ». Ces éléments témoignent d’une nette discordance entre les plaintes de l’assurée et le comportement observé par les médecins, ainsi que d’un environnement psycho- social intact. Il se justifie par conséquent d’admettre l’existence de motifs d’exclusion au sens de l’ATF 131 V 49 et de conclure à l’absence d’atteinte à la santé ouvrant droit à des prestations d’assurance. g. C’est en vain que l’assurée soutient que sa rente ne peut être réexaminée, faute d’amélioration de son état de santé. En effet, la procédure prévue par les dispositions finales de la 6ème révision de la LAI permet la suppression de rentes</w:t>
      </w:r>
    </w:p>
    <w:p>
      <w:r>
        <w:t>A/1788/2015 - 15/16 - versées en raison d’un syndrome sans pathogenèse ni étiologie claires, même en l’absence de motif de révision au sens de l’art. 17 al. 1 LPGA. i. Eu égard aux considérations qui précèdent, toutes les conditions permettant le réexamen de la rente d’invalidité sous l’angle de la 6ème révision de la LAI sont remplies.</w:t>
      </w:r>
    </w:p>
    <w:p>
      <w:r>
        <w:rPr>
          <w:b/>
        </w:rPr>
        <w:t>E. 12</w:t>
      </w:r>
    </w:p>
    <w:p>
      <w:r>
        <w:t>Reste à examiner le droit aux mesures de nouvelle réadaptation. Aux termes de la lettre a al. 2 des dispositions finales de la modification du 18 mars 2011, en cas de réduction ou de suppression de rente, l’assuré a droit aux mesures de nouvelle réadaptation au sens de l’art. 8a. Les bénéficiaires de rente ont droit à des mesures de nouvelle réadaptation si leur capacité de gain peut, selon toute vraisemblance, être améliorée et si ces mesures sont de nature à améliorer leur capacité de gain (al. 1). Durant la mise en œuvre de telles mesures, l’assurance continue de verser la rente à l’assuré, mais au plus pendant deux ans à compter du moment de la suppression ou de la réduction de la rente (al. 3). La chambre de céans constate que l’intimé a omis de statuer sur le droit éventuel de l’assurée aux mesures de nouvelles réadaptation prévues par la let. a des dispositions finales. Il n’appartient toutefois pas à la juridiction cantonale de se prononcer à sa place sur ce point, de sorte que la cause lui sera renvoyée, étant rappelé que seuls peuvent être jugés les rapports juridiques à propos desquels l’autorité administrative s’est prononcée préalablement sous la forme d’une décision (ATF 131 V 164 consid. 2.1, 125 V 414 consid. 1a, 119 Ib 36 consid. 1b et les références citées). Ce renvoi s’impose également afin de ne pas priver la recourante d’un degré de juridiction.</w:t>
      </w:r>
    </w:p>
    <w:p>
      <w:r>
        <w:rPr>
          <w:b/>
        </w:rPr>
        <w:t>E. 13</w:t>
      </w:r>
    </w:p>
    <w:p>
      <w:r>
        <w:t>En définitive, le recours est partiellement admis et la cause renvoyée à l’OAI afin qu’il statue sur le droit à des mesures de réadaptation. Le recours est rejeté pour le surplus. L’assurée, représentée par un conseil, obtient très partiellement gain de cause, de sorte qu’elle a droit à une indemnité à titre de participation à ses frais et dépens, que la chambre de céans fixe en l’occurrence à CHF 750.- (art. 61 let. g LPGA ; art. 89H al. 3 de la loi sur la procédure administrative du 12 septembre 1985 - LPA ;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w:t>
      </w:r>
    </w:p>
    <w:p>
      <w:r>
        <w:t>PAR CES MOTIFS, LA CHAMBRE DES ASSURANCES SOCIALES :</w:t>
      </w:r>
    </w:p>
    <w:p>
      <w:r>
        <w:t>A/1788/2015 - 16/16 - Statuant À la forme : 1. Déclare le recours recevable. Au fond : 2. L’admet partiellement au sens des considérants. 3. Renvoie la cause à l’intimé, à charge pour ce dernier de statuer sur le droit de l’assurée à des mesures de réadaptation. 4. Rejette le recours pour le surplus. 5. Condamne l’intimé à verser à la recourante la somme de CHF 750.- à titre de participation à ses frais et dépens.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