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ATAS/258/2015 vom 26. März 2015</w:t>
      </w:r>
    </w:p>
    <w:p>
      <w:r>
        <w:t>GE Cour de justice, 2015-03-26, FR</w:t>
      </w:r>
    </w:p>
    <w:p>
      <w:r>
        <w:rPr>
          <w:b/>
        </w:rPr>
        <w:t xml:space="preserve">Quelle: </w:t>
      </w:r>
      <w:r>
        <w:t>https://mcp.opencaselaw.ch/entscheid/ge_gerichte_ATAS_258_2015</w:t>
      </w:r>
    </w:p>
    <w:p>
      <w:r>
        <w:t>FR: GE_GERICHTE ATAS/258/2015 du 26 mars 2015</w:t>
      </w:r>
    </w:p>
    <w:p>
      <w:r>
        <w:t>IT: GE_GERICHTE ATAS/258/2015 del 26 marzo 2015</w:t>
      </w:r>
    </w:p>
    <w:p>
      <w:pPr>
        <w:pStyle w:val="Heading2"/>
      </w:pPr>
      <w:r>
        <w:t>Regeste</w:t>
      </w:r>
    </w:p>
    <w:p>
      <w:r>
        <w:t>Résumé: Le barème du SECO prévoit une suspension du droit à l'indemnité de 9 à 12 jours en cas de défaut de recherches d'emploi avant l'inscription au chômage, lorsque le délai de congé est de trois mois ou lorsque le contrat de travail est de durée déterminée. Or, selon la Chambre de céans, en tant qu'il retient la durée du délai de congé pour déterminer la sanction, sans considérer l'importance de la période durant laquelle l'assuré ne s'est pas conformé à son obligation de rechercher un emploi avant le chômage, ce barème se fonde sur des critères qui manquent de pertinence et s'éloignent du but visé par les art. 30 al. 3 LACI et 45 al. 2 OACI. Par conséquent, il y a lieu d'interpréter le barème du SECO en ce sens que la sanction prévue doit être proportionnelle au nombre de mois durant lesquels l'assuré n'aura pas fourni un nombre de recherches d'emploi suffisant et non pas à la durée du délai de congé. En l'occurrence, l'assurée qui a failli à son obligation de rechercher un emploi pendant une durée de deux moins avant le terme de son contrat de travail de durée déterminée doit ainsi se voir appliquer le barème prévoyant une suspension de son droit à l'indemnité de 6 à 8 jours au lieu du barème prévoyant une suspension de 9 à 12 jours.</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le bien-fondé de la suspension de 9 jours du droit à l'indemnité de la recourante.</w:t>
      </w:r>
    </w:p>
    <w:p>
      <w:r>
        <w:t>A/3/2015 - 6/12 -</w:t>
      </w:r>
    </w:p>
    <w:p>
      <w:r>
        <w:rPr>
          <w:b/>
        </w:rPr>
        <w:t>E. 4</w:t>
      </w:r>
    </w:p>
    <w:p>
      <w:r>
        <w:t>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b)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w:t>
      </w:r>
    </w:p>
    <w:p>
      <w:r>
        <w:t>A/3/2015 - 7/12 - Arbeitslosenversicherung, in: Schweizerisches Bundesverwaltungsrecht [SBVR], Soziale Sicherheit, 2ème éd., n. 837 et 838 p. 2429 sv.; Boris RUBIN, Assurance- 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des 1er décembre 2005 consid 5.2.1, C 144/05 et 29 septembre 2005 consid. 2.2, C 199/05). Cette obligation subsiste même si l'assuré se trouve en pourparlers avec un employeur potentiel (arrêt du 11 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L'obligation de rechercher un emploi s'applique aussi lorsqu'il s'agit d'un contrat à durée déterminée, au moins durant les 3 derniers mois (SECO - Bulletin LACI – janvier 2014 B 314, ATF du 8 avril 2009 8C 800/2008 du 8 avril 2009; ATF du 25 septembre 2008 8C 271/2008).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d)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w:t>
      </w:r>
    </w:p>
    <w:p>
      <w:r>
        <w:rPr>
          <w:b/>
        </w:rPr>
        <w:t>E. 5</w:t>
      </w:r>
    </w:p>
    <w:p>
      <w:r>
        <w:t>a) 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w:t>
      </w:r>
    </w:p>
    <w:p>
      <w:r>
        <w:t>A/3/2015 - 8/12 - son comportement fautif (ATF 133 V 89 consid. 6.2.2 ; arrêt du Tribunal fédéral 8C_316/07 du 6 avril 2008 consid. 2.1.2). b)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w:t>
      </w:r>
    </w:p>
    <w:p>
      <w:r>
        <w:rPr>
          <w:b/>
        </w:rPr>
        <w:t>E. 9</w:t>
      </w:r>
    </w:p>
    <w:p>
      <w:r>
        <w:t>Compte tenu de l'ensemble des circonstances et, en particulier, du fait qu'il est admis que l'assurée a également recherché un emploi avant les trois derniers mois de son contrat de travail, il convient d'infliger à la recourante une suspension de son droit à l'indemnité de 6 jours, soit le minimum prévu pour un délai de congé de 2 mois, en lieu et place des 9 jours prononcés par l'intimé.</w:t>
      </w:r>
    </w:p>
    <w:p>
      <w:r>
        <w:t>Partant, le recours sera partiellement admis et la décision litigieuse réformée en ce sens que la sanction de 9 jours est réduite à 6 jours. Pour le surplus, la procédure est gratuite.</w:t>
      </w:r>
    </w:p>
    <w:p>
      <w:r>
        <w:t>A/3/2015 - 12/12 -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