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ATAS/257/2024 vom 24. April 2024</w:t>
      </w:r>
    </w:p>
    <w:p>
      <w:r>
        <w:t>GE Cour de justice, 2024-04-24, FR</w:t>
      </w:r>
    </w:p>
    <w:p>
      <w:r>
        <w:rPr>
          <w:b/>
        </w:rPr>
        <w:t xml:space="preserve">Quelle: </w:t>
      </w:r>
      <w:r>
        <w:t>https://mcp.opencaselaw.ch/entscheid/ge_gerichte_ATAS_257_2024</w:t>
      </w:r>
    </w:p>
    <w:p>
      <w:r>
        <w:t>FR: GE_GERICHTE ATAS/257/2024 du 24 avril 2024</w:t>
      </w:r>
    </w:p>
    <w:p>
      <w:r>
        <w:t>IT: GE_GERICHTE ATAS/257/2024 del 24 aprile 2024</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2.1</w:t>
      </w:r>
    </w:p>
    <w:p>
      <w:r>
        <w:t>À teneur de l'art. 1 al. 1 LAMal, les dispositions de la LPGA s'appliquent à l'assurance-maladie, à moins que la loi n'y déroge expressément. Le 1er janvier 2021, est entrée en vigueur la modification du 21 juin 2019 de la LPGA.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w:t>
      </w:r>
    </w:p>
    <w:p>
      <w:r>
        <w:t>A/2202/2023 - 7/13 - Déposé après le 1er janvier 2021, le recours sera donc traité sous l'angle du nouveau droit de la LPGA (cf. ATAS/360/2021 du 15 avril 2021 consid. 3).</w:t>
      </w:r>
    </w:p>
    <w:p>
      <w:r>
        <w:rPr>
          <w:b/>
        </w:rPr>
        <w:t>E. 2.2</w:t>
      </w:r>
    </w:p>
    <w:p>
      <w:r>
        <w:t>Le délai de recours est de trente jours (art. 56 et 60 LPGA ; art. 62 al. 1 let. a de la loi sur la procédure administrative du 12 septembre 1985 [LPA - E 5 10]). Interjeté dans le délai prévu par la loi, compte tenu du report au premier jour utile (art. 38 al. 3 LPGA), le recours sera déclaré recevable.</w:t>
      </w:r>
    </w:p>
    <w:p>
      <w:r>
        <w:rPr>
          <w:b/>
        </w:rPr>
        <w:t>E. 3</w:t>
      </w:r>
    </w:p>
    <w:p>
      <w:r>
        <w:t>Le litige porte sur le point de savoir si, dans le cadre de l'assurance obligatoire des soins, l'intimée doit prendre en charge le traitement orthodontique et chirurgical maxillo-facial que préconise le Dr B______.</w:t>
      </w:r>
    </w:p>
    <w:p>
      <w:r>
        <w:rPr>
          <w:b/>
        </w:rPr>
        <w:t>E. 4.1</w:t>
      </w:r>
    </w:p>
    <w:p>
      <w:r>
        <w:t>Selon l'art. 25 LAMal, l'assurance obligatoire des soins prend en charge les coûts des prestations qui servent à diagnostiquer ou à traiter une maladie et ses séquelles (al. 1). Ces prestations comprennent notamment les examens et traitements dispensés sous forme ambulatoire, en milieu hospitalier ou dans un établissement médico-social, ainsi que les soins dispensés dans un hôpital par des médecins, des chiropraticiens et des personnes fournissant des prestations sur prescription ou sur mandat d'un médecin ou d'un chiropraticien (al. 2 let. a).</w:t>
      </w:r>
    </w:p>
    <w:p>
      <w:r>
        <w:rPr>
          <w:b/>
        </w:rPr>
        <w:t>E. 4.2</w:t>
      </w:r>
    </w:p>
    <w:p>
      <w:r>
        <w:t>Selon l'art. 31 al. 1 LAMal, l'assurance obligatoire des soins prend en charge les coûts des soins dentaires s'ils sont occasionnés par une maladie grave et non évitable du système de la mastication (let. a), ou s'ils sont occasionnés par une autre maladie grave ou ses séquelles (let. b), ou s'ils sont nécessaires pour traiter une maladie grave ou ses séquelles (let. c). Conformément à l'art. 33 al. 2 et 5 LAMal, en corrélation avec l'art. 33 let. d de l'ordonnance sur l'assurance-maladie du 27 juin 1995 (OAMal - RS 832.102), le Département fédéral de l'intérieur (ci-après : DFI) a édicté les art. 17 à 19a OPAS, qui se rapportent à chacune des éventualités prévues à l'art. 31 al. 1 LAMal. Ainsi, l'art. 17 OPAS énumère les maladies graves et non évitables du système de la mastication au sens de l'art. 31 al. 1 let. a LAMal, qui ouvrent le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aux traitements de certains foyers infectieux bien définis (art. 31 al. 1 let. c LAMal). Enfin l'art. 19a OPAS règle les conditions de la prise en charge des frais dentaires occasionnés par certaines infirmités congénitales (arrêt du Tribunal fédéral des assurances K.146/05 du 29 décembre 2006 consid. 1.2). Selon une jurisprudence constante, la liste des affections de nature à nécessiter des soins dentaires à la charge de l'assurance obligatoire des soins en cas de maladie</w:t>
      </w:r>
    </w:p>
    <w:p>
      <w:r>
        <w:t>A/2202/2023 - 8/13 - est exhaustive (ATF 127 V 332 consid. 3a et 343 consid. 3b ; ATF 124 V 194 consid. 4).</w:t>
      </w:r>
    </w:p>
    <w:p>
      <w:r>
        <w:rPr>
          <w:b/>
        </w:rPr>
        <w:t>E. 4.3</w:t>
      </w:r>
    </w:p>
    <w:p>
      <w:r>
        <w:t>En cas d’infirmité congénitale (art. 3 al. 2 LPGA) non couverte par l’assurance-invalidité, l’assurance obligatoire des soins prend en charge les coûts des mêmes prestations qu’en cas de maladie (art. 27 LAMal). Selon la jurisprudence, les traitements dentaires consécutifs à une infirmité congénitale au sens de l'art. 27 LAMal n'ouvrent le droit aux prestations de l'assurance-maladie obligatoire des soins que lorsque les conditions de l'art. 31 al. 1 LAMal sont réalisées (arrêt du Tribunal fédéral 9C_223/2009 du 16 avril 2010 consid. 2.2 et la référence).</w:t>
      </w:r>
    </w:p>
    <w:p>
      <w:r>
        <w:rPr>
          <w:b/>
        </w:rPr>
        <w:t>E. 4.4</w:t>
      </w:r>
    </w:p>
    <w:p>
      <w:r>
        <w:t>Aux termes de l'art. 19a al. 1 OPAS, l'assurance prend en charge les coûts des traitements dentaires occasionnés par les infirmités congénitales, au sens de l'al. 2, lorsque les traitements sont nécessaires après la vingtième année (let. a) ou que les traitements sont nécessaires avant la vingtième année pour un assuré soumis à la LAMal mais qui n'est pas assuré par l'assurance-invalidité fédérale (let. b). Au nombre des infirmités congénitales figure la prognathie inférieure congénitale, lorsque l'appréciation céphalométrique montre une divergence des rapports sagittaux de la mâchoire mesurée par un angle ANB d'au moins -1 degré et qu'au moins deux paires antagonistes de la seconde dentition se trouvent en position d'occlusion croisée ou en bout à bout (art. 19a al. 2 ch. 22 OPAS), dont le Tribunal fédéral des assurances a précisé qu'elle doit être assimilée à une maladie grave du système de la mastication au sens de l'art. 31 al. 1 let. a LAMal (ATF 129 V 80 consid. 6). La jurisprudence a précisé que ne sont réputés nécessaires au sens de l'art. 19a al. 1 let. a OPAS que les traitements dentaires occasionnés par une infirmité congénitale qui, pour des raisons médicales, requièrent une intervention au-delà de l'âge de 20 ans. Le Tribunal fédéral a en effet considéré que l'assurance obligatoire des soins ne peut pas être appelée à répondre des coûts résultant de traitements qui auraient pu être effectués avant cette limite temporelle mais qui ne l'ont pas été pour des motifs échappant à la sphère d'influence de l'assureur- maladie (ATF 130 V 294 consid. 5.2-5.5, précision de la jurisprudence rendue à l'ATF 129 V 80). La nécessité d'un traitement dentaire occasionné par une infirmité congénitale après la vingtième année au sens de l'art. 19a al. 1 let. a OPAS doit être admise lorsque des raisons médicales exigent que l'intervention soit pratiquée à ce moment-là seulement (ATF 130 V 459 consid. 1.2). Si, en dépit de l'indication médicale, l'intervention est reportée des années, voire des décennies durant, la condition liée à la nécessité de procéder après l'âge de 20 ans au traitement dentaire occasionné par une infirmité congénitale n'est plus remplie (ATF 130 V 459 consid. 3).</w:t>
      </w:r>
    </w:p>
    <w:p>
      <w:r>
        <w:t>A/2202/2023 - 9/13 -</w:t>
      </w:r>
    </w:p>
    <w:p>
      <w:r>
        <w:rPr>
          <w:b/>
        </w:rPr>
        <w:t>E. 5</w:t>
      </w:r>
    </w:p>
    <w:p>
      <w:r>
        <w:t>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ATF 116 II 738 consid. 2a).</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7</w:t>
      </w:r>
    </w:p>
    <w:p>
      <w:r>
        <w:t>En l'espèce, l’intimée retient que, au vu de l’arrêt de la chambre de céans du 28 mars 2022, le recourant ne peut plus se prévaloir ni de l’art. 19a al. 1 let. a OPAS avec son al. 2, ni de l’art. 17 let. f ch. 2 OPAS. Par ailleurs, les conditions de l’art. 17 let. f ch. 1 et 3 n’étant pas réalisés, le traitement avait été refusé à juste titre. De son côté, le recourant fait valoir que le traitement est nécessaire. L’asymétrie avait été évaluée sur la base de photographies et non pas par un examen clinique qui avait été refusé par l’intimée. Il fallait par ailleurs tenir compte de l’impact psychologique.</w:t>
      </w:r>
    </w:p>
    <w:p>
      <w:r>
        <w:rPr>
          <w:b/>
        </w:rPr>
        <w:t>E. 8</w:t>
      </w:r>
    </w:p>
    <w:p>
      <w:r>
        <w:t>Par arrêt du 28 mars 2022, la chambre de céans a admis l’existence d’une infirmité congénitale au sens de l'art. 19a al. 2 ch. 22 OPAS (prognathie inférieure congénitale). Toutefois, cet arrêt a également tranché que le recourant ne remplissait pas les conditions pour une prise en charge au sens de l’art. 19a al. 1 let. a OPAS. L’arrêt étant devenu définitif, le dispositif renvoyant pour le surplus expressément aux considérants, ces derniers ont également acquis force de chose jugée. Le refus de prise en charge selon l’art. 19a al. 1 OPAS ne peut donc plus être remis en question.</w:t>
      </w:r>
    </w:p>
    <w:p>
      <w:r>
        <w:t>A/2202/2023 - 10/13 - Partant, c'est à juste titre que l'intimée a refusé de prendre en charge le traitement sollicité au regard de l'art. 19a al. 1 let. a OPAS en lien avec l'al. 2 ch. 22 de cette disposition.</w:t>
      </w:r>
    </w:p>
    <w:p>
      <w:r>
        <w:rPr>
          <w:b/>
        </w:rPr>
        <w:t>E. 9.1</w:t>
      </w:r>
    </w:p>
    <w:p>
      <w:r>
        <w:t>Il reste dès lors à examiner si l'intimée doit prendre en charge les coûts du traitement en cause au titre de l'art. 17 let. f OPAS. C'est le lieu de rappeler que l'infirmité congénitale dont souffre le recourant (prognathie inférieure congénitale au sens de l'art. 19a al. 2 ch. 22 OPAS), est assimilée à une maladie grave du système de la mastication au sens de l'art. 31 al. 1 let. a LAMal, auquel se rapportent les éventualités prévues à l'art. 17 OPAS (arrêt du Tribunal fédéral 9C_237/2010 du 30 août 2010 consid. 6 et les références). Au nombre des maladies graves et non évitables du système de la mastication ouvrant le droit à la prise en charge des coûts des traitements dentaires par l'assurance obligatoire des soins figurent notamment les dysgnathies qui provoquent des affections pouvant être qualifiées de maladies, tels qu'un syndrome de l'apnée du sommeil (art. 17 let. f ch. 1 OPAS), des troubles graves de la déglutition (ch. 2) ou des asymétries graves cranio-faciales (ch. 3).</w:t>
      </w:r>
    </w:p>
    <w:p>
      <w:r>
        <w:rPr>
          <w:b/>
        </w:rPr>
        <w:t>E. 9.2</w:t>
      </w:r>
    </w:p>
    <w:p>
      <w:r>
        <w:t>Selon la jurisprudence, est « évitable » toute maladie du système de la mastication qui peut être évitée par une bonne hygiène buccale et dentaire. Dans ce sens, sont visées la carie et la parodontite. Seules les dysgnathies inévitables peuvent être reconnues comme maladie du système de la mastication et entraîner l'obligation de prise en charge de l'assureur. Cela étant, le fait qu'elles figurent à l'art. 17 let. f OPAS ne permet pas de les qualifier d'emblée d'inévitables. Par ailleurs, toutes les dysgnathies inévitables au sens de l'art. 17 let. f OPAS ne doivent pas nécessairement revêtir les formes les plus graves. Les dysgnathies dont il est question à l'art. 17 let. f ch. 1 OPAS ne doivent pas être graves en soi ; seuls leurs effets - à savoir le syndrome d'apnée du sommeil - doivent l'être. De même, les dysgnathies au sens de l'art. 17 let. f ch. 2 OPAS doivent entraîner des troubles graves de la déglutition. Seules les dysgnathies mentionnées à l'art. 17 let. f ch. 3 OPAS revêtent en soi un caractère de gravité dans la mesure où elles provoquent des asymétries cranio-faciales graves ou correspondent à une cranio- sténose, une dysostose, une dysplasie des maxillaires ou à un trouble de la croissance comme l'élongation ou l'hypertrophie mandibulaire, ou encore l'hémi- atrophie faciale. Enfin, la liste contenue à l'art. 17 let. f OPAS n'est pas exemplative mais limitative : seules, et pour autant qu'elles puissent être qualifiées de maladies, les affections mentionnées aux ch. 1 à 3 provoquées par des dysgnathies inévitables sont susceptibles d'entraîner la prise en charge des coûts de traitements dentaires par l'assurance obligatoire des soins. Ainsi l'art. 17 let. f ch. 2 OPAS vise uniquement les troubles graves de la déglutition à l'exclusion</w:t>
      </w:r>
    </w:p>
    <w:p>
      <w:r>
        <w:t>A/2202/2023 - 11/13 - d'autres troubles comme ceux de la mastication (arrêt du Tribunal fédéral des assurances K.146/05 du 29 décembre 2006 consid. 3 et 4.2 et les références)</w:t>
      </w:r>
    </w:p>
    <w:p>
      <w:r>
        <w:rPr>
          <w:b/>
        </w:rPr>
        <w:t>E. 9.3</w:t>
      </w:r>
    </w:p>
    <w:p>
      <w:r>
        <w:t>En l'espèce, les chiffres 1 et 2 de l’art. 17 let. f OPAS ont été invoqués dans l’arrêt du 28 mars 2022 en ces termes : « Ni les Drs C______ et D______, ni le Dr B______ n'ont relevé que le recourant souffre en raison de sa malformation d'un syndrome de l'apnée du sommeil ou de troubles graves de la déglutition. En particulier, les difficultés dans la mastication (courriel du recourant du 28 janvier 2021) ne sont pas graves au sens de la jurisprudence pour que le traitement envisagé soit pris en charge par l'assurance obligatoire des soins ». Comme cela ressort des principes rappelés ci-dessus, la liste de l’art. 17 let. f OPAS est exhaustive. En tant que de besoin, il sera confirmé que l’atteinte du recourant doit être considérée comme non évitable conformément aux explications fournies par le Dr B______ dans son rapport du 18 juillet 2022 puisqu’il s’agit d’une malformation squelettique constitutionnelle.</w:t>
      </w:r>
    </w:p>
    <w:p>
      <w:r>
        <w:rPr>
          <w:b/>
        </w:rPr>
        <w:t>E. 9.3.1</w:t>
      </w:r>
    </w:p>
    <w:p>
      <w:r>
        <w:t>Le chiffre 2 de l’art. 17 f OPAS n’est pas pertinent en l’espèce puisqu’il n’est pas fait état de troubles graves de la déglutition, ce qui n’est pas contesté par les parties.</w:t>
      </w:r>
    </w:p>
    <w:p>
      <w:r>
        <w:rPr>
          <w:b/>
        </w:rPr>
        <w:t>E. 9.3.2</w:t>
      </w:r>
    </w:p>
    <w:p>
      <w:r>
        <w:t>Le chiffre 1 de l’art. 17 let. f OPAS sera examiné puisqu’une polygraphie respiratoire réalisée le 21 juillet 2022 a désormais confirmé un trouble respiratoire du sommeil. Cet examen a été complété pour préciser son résultat par une polysomnographie du 30 novembre 2022 qui a permis de diagnostiquer un syndrome d’augmentation de résistance des voies aériennes supérieures (SRVAS). Il a également été confirmé la nature purement obstructive des hypopnées documentée en nombre et sévérité moindre en comparaison au tracé du 22 juillet 2022. Le Dr F______ a cependant conclu son rapport en précisant que le cas du recourant ne remplissait pas les conditions pour un remboursement de sa chirurgie par l’assurance maladie obligatoire, ce qui a également été confirmé par le médecin-conseil de l’intimée. En effet, comme cela ressort du rapport du 30 novembre 2022, le Dr F______ a conclu à une ronchopathie simple avec syndrome d’apnées-hypopnées obstructives du sommeil (SAHOS) léger sous la forme d’hypopnées obstructives en quantité limitée. Le syndrome de l’apnée du sommeil étant qualifié de léger, cela exclut une prise en charge sous l’angle de l’art. 17 let. f ch. 1 conformément à la jurisprudence en la matière.</w:t>
      </w:r>
    </w:p>
    <w:p>
      <w:r>
        <w:t>A/2202/2023 - 12/13 -</w:t>
      </w:r>
    </w:p>
    <w:p>
      <w:r>
        <w:rPr>
          <w:b/>
        </w:rPr>
        <w:t>E. 9.3.3</w:t>
      </w:r>
    </w:p>
    <w:p>
      <w:r>
        <w:t>S’agissant du chiffre 3 de l’art. 17 let. f OPAS, aucun des médecins du recourant bien qu’interpellés n’ont fait état d’éléments permettant de conclure à une asymétrie cranio-faciale grave, étant souligné que le Dr B______ a conclu que de la prise en charge relevait des art. 19a et 17 let. f ch. 1 OPAS. Quant au Prof. H______, il s’est limité à rejoindre les conclusions de son confrère. De son côté, le médecin-conseil, qui disposait de photographies et de radiographies du recourant, a développé de manière convaincante les raisons pour lesquelles une asymétrie cranio-faciale grave ne pouvait pas être admise en l’espèce, étant rappelé que les médecins suivant le recourant n’ont pas apporté d’éléments contradictoires à son appréciation. Ces derniers ne réclament même pas la prise en charge du traitement sur la base de l’art. 17 let. f ch. 3 OPAS. Pour le surplus, la jurisprudence n'exige pas qu'un examen personnel de l'assuré soit systématiquement pratiqué (RAMA 2001 n° U 438 p. 345 ; ATF U 429/04 du 12 août 2005 ; ATF U 187/05 du 23 décembre 2005). Les effets psychologiques n’étant pas mentionnés à l’art. 17 let. f OPAS, ils ne permettent pas une appréciation différente. Par conséquent, c’est à juste titre que l’intimée a refusé la prise en charge du traitement sur la base de l’art. 17 let. f OPAS. Au vu de ce qui précède, le recours sera rejeté.</w:t>
      </w:r>
    </w:p>
    <w:p>
      <w:r>
        <w:rPr>
          <w:b/>
        </w:rPr>
        <w:t>E. 10</w:t>
      </w:r>
    </w:p>
    <w:p>
      <w:r>
        <w:t>Enfin, l’intimée requiert le versement d’une indemnité de dépens. Elle ne peut toutefois pas y prétendre dès lors que selon la jurisprudence (ATF 126 V 149 consid. 4), les assureurs sociaux qui obtiennent gain de cause devant une juridiction de première instance n’ont pas droit à une indemnité de dépens, en dehors d’exceptions non réalisées en l’espèce, telles qu’un recours téméraire ou interjeté à la légère par l’assuré. Pour le surplus, la procédure est gratuite (art. 61 let. fbis a contrario LPGA).</w:t>
      </w:r>
    </w:p>
    <w:p>
      <w:r>
        <w:t>A/2202/2023 - 13/13 -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